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aps/>
          <w:lang w:eastAsia="en-US"/>
        </w:rPr>
        <w:id w:val="-398898339"/>
        <w:docPartObj>
          <w:docPartGallery w:val="Cover Pages"/>
          <w:docPartUnique/>
        </w:docPartObj>
      </w:sdtPr>
      <w:sdtEndPr>
        <w:rPr>
          <w:rFonts w:asciiTheme="minorHAnsi" w:eastAsiaTheme="minorHAnsi" w:hAnsiTheme="minorHAnsi" w:cstheme="minorBidi"/>
          <w:caps w:val="0"/>
        </w:rPr>
      </w:sdtEndPr>
      <w:sdtContent>
        <w:tbl>
          <w:tblPr>
            <w:tblW w:w="5000" w:type="pct"/>
            <w:jc w:val="center"/>
            <w:tblLook w:val="04A0" w:firstRow="1" w:lastRow="0" w:firstColumn="1" w:lastColumn="0" w:noHBand="0" w:noVBand="1"/>
          </w:tblPr>
          <w:tblGrid>
            <w:gridCol w:w="9288"/>
          </w:tblGrid>
          <w:tr w:rsidR="001D4744">
            <w:trPr>
              <w:trHeight w:val="2880"/>
              <w:jc w:val="center"/>
            </w:trPr>
            <w:sdt>
              <w:sdtPr>
                <w:rPr>
                  <w:rFonts w:asciiTheme="majorHAnsi" w:eastAsiaTheme="majorEastAsia" w:hAnsiTheme="majorHAnsi" w:cstheme="majorBidi"/>
                  <w:caps/>
                  <w:lang w:eastAsia="en-US"/>
                </w:rPr>
                <w:alias w:val="Společnost"/>
                <w:id w:val="15524243"/>
                <w:dataBinding w:prefixMappings="xmlns:ns0='http://schemas.openxmlformats.org/officeDocument/2006/extended-properties'" w:xpath="/ns0:Properties[1]/ns0:Company[1]" w:storeItemID="{6668398D-A668-4E3E-A5EB-62B293D839F1}"/>
                <w:text/>
              </w:sdtPr>
              <w:sdtEndPr>
                <w:rPr>
                  <w:lang w:eastAsia="cs-CZ"/>
                </w:rPr>
              </w:sdtEndPr>
              <w:sdtContent>
                <w:tc>
                  <w:tcPr>
                    <w:tcW w:w="5000" w:type="pct"/>
                  </w:tcPr>
                  <w:p w:rsidR="001D4744" w:rsidRDefault="001D4744" w:rsidP="001D4744">
                    <w:pPr>
                      <w:pStyle w:val="Bezmezer"/>
                      <w:jc w:val="center"/>
                      <w:rPr>
                        <w:rFonts w:asciiTheme="majorHAnsi" w:eastAsiaTheme="majorEastAsia" w:hAnsiTheme="majorHAnsi" w:cstheme="majorBidi"/>
                        <w:caps/>
                      </w:rPr>
                    </w:pPr>
                    <w:r>
                      <w:rPr>
                        <w:rFonts w:asciiTheme="majorHAnsi" w:eastAsiaTheme="majorEastAsia" w:hAnsiTheme="majorHAnsi" w:cstheme="majorBidi"/>
                        <w:caps/>
                      </w:rPr>
                      <w:t>Univerzita Pardubice</w:t>
                    </w:r>
                  </w:p>
                </w:tc>
              </w:sdtContent>
            </w:sdt>
          </w:tr>
          <w:tr w:rsidR="001D4744">
            <w:trPr>
              <w:trHeight w:val="1440"/>
              <w:jc w:val="center"/>
            </w:trPr>
            <w:sdt>
              <w:sdtPr>
                <w:rPr>
                  <w:rFonts w:asciiTheme="majorHAnsi" w:eastAsiaTheme="majorEastAsia" w:hAnsiTheme="majorHAnsi" w:cstheme="majorBidi"/>
                  <w:sz w:val="80"/>
                  <w:szCs w:val="80"/>
                </w:rPr>
                <w:alias w:val="Název"/>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rsidR="001D4744" w:rsidRDefault="00B67DD3" w:rsidP="001D4744">
                    <w:pPr>
                      <w:pStyle w:val="Bezmezer"/>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Semestrální práce B</w:t>
                    </w:r>
                  </w:p>
                </w:tc>
              </w:sdtContent>
            </w:sdt>
          </w:tr>
          <w:tr w:rsidR="001D4744">
            <w:trPr>
              <w:trHeight w:val="720"/>
              <w:jc w:val="center"/>
            </w:trPr>
            <w:sdt>
              <w:sdtPr>
                <w:rPr>
                  <w:rFonts w:asciiTheme="majorHAnsi" w:eastAsiaTheme="majorEastAsia" w:hAnsiTheme="majorHAnsi" w:cstheme="majorBidi"/>
                  <w:sz w:val="44"/>
                  <w:szCs w:val="44"/>
                </w:rPr>
                <w:alias w:val="Podtitul"/>
                <w:id w:val="15524255"/>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1D4744" w:rsidRDefault="001D4744" w:rsidP="001D4744">
                    <w:pPr>
                      <w:pStyle w:val="Bezmezer"/>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Pokročilé metody modelování a simulace</w:t>
                    </w:r>
                  </w:p>
                </w:tc>
              </w:sdtContent>
            </w:sdt>
          </w:tr>
          <w:tr w:rsidR="001D4744">
            <w:trPr>
              <w:trHeight w:val="360"/>
              <w:jc w:val="center"/>
            </w:trPr>
            <w:tc>
              <w:tcPr>
                <w:tcW w:w="5000" w:type="pct"/>
                <w:vAlign w:val="center"/>
              </w:tcPr>
              <w:p w:rsidR="001D4744" w:rsidRDefault="001D4744">
                <w:pPr>
                  <w:pStyle w:val="Bezmezer"/>
                  <w:jc w:val="center"/>
                </w:pPr>
              </w:p>
            </w:tc>
          </w:tr>
          <w:tr w:rsidR="001D4744">
            <w:trPr>
              <w:trHeight w:val="360"/>
              <w:jc w:val="center"/>
            </w:trPr>
            <w:sdt>
              <w:sdtPr>
                <w:rPr>
                  <w:b/>
                  <w:bCs/>
                </w:rPr>
                <w:alias w:val="Autor"/>
                <w:id w:val="15524260"/>
                <w:dataBinding w:prefixMappings="xmlns:ns0='http://schemas.openxmlformats.org/package/2006/metadata/core-properties' xmlns:ns1='http://purl.org/dc/elements/1.1/'" w:xpath="/ns0:coreProperties[1]/ns1:creator[1]" w:storeItemID="{6C3C8BC8-F283-45AE-878A-BAB7291924A1}"/>
                <w:text/>
              </w:sdtPr>
              <w:sdtEndPr/>
              <w:sdtContent>
                <w:tc>
                  <w:tcPr>
                    <w:tcW w:w="5000" w:type="pct"/>
                    <w:vAlign w:val="center"/>
                  </w:tcPr>
                  <w:p w:rsidR="001D4744" w:rsidRDefault="001D4744">
                    <w:pPr>
                      <w:pStyle w:val="Bezmezer"/>
                      <w:jc w:val="center"/>
                      <w:rPr>
                        <w:b/>
                        <w:bCs/>
                      </w:rPr>
                    </w:pPr>
                    <w:r>
                      <w:rPr>
                        <w:b/>
                        <w:bCs/>
                      </w:rPr>
                      <w:t xml:space="preserve">Matěj </w:t>
                    </w:r>
                    <w:proofErr w:type="spellStart"/>
                    <w:r>
                      <w:rPr>
                        <w:b/>
                        <w:bCs/>
                      </w:rPr>
                      <w:t>Trakal</w:t>
                    </w:r>
                    <w:proofErr w:type="spellEnd"/>
                  </w:p>
                </w:tc>
              </w:sdtContent>
            </w:sdt>
          </w:tr>
          <w:tr w:rsidR="001D4744">
            <w:trPr>
              <w:trHeight w:val="360"/>
              <w:jc w:val="center"/>
            </w:trPr>
            <w:sdt>
              <w:sdtPr>
                <w:rPr>
                  <w:b/>
                  <w:bCs/>
                </w:rPr>
                <w:alias w:val="Datum"/>
                <w:id w:val="516659546"/>
                <w:dataBinding w:prefixMappings="xmlns:ns0='http://schemas.microsoft.com/office/2006/coverPageProps'" w:xpath="/ns0:CoverPageProperties[1]/ns0:PublishDate[1]" w:storeItemID="{55AF091B-3C7A-41E3-B477-F2FDAA23CFDA}"/>
                <w:date w:fullDate="2012-11-09T00:00:00Z">
                  <w:dateFormat w:val="d.M.yyyy"/>
                  <w:lid w:val="cs-CZ"/>
                  <w:storeMappedDataAs w:val="dateTime"/>
                  <w:calendar w:val="gregorian"/>
                </w:date>
              </w:sdtPr>
              <w:sdtEndPr/>
              <w:sdtContent>
                <w:tc>
                  <w:tcPr>
                    <w:tcW w:w="5000" w:type="pct"/>
                    <w:vAlign w:val="center"/>
                  </w:tcPr>
                  <w:p w:rsidR="001D4744" w:rsidRDefault="00006357" w:rsidP="00006357">
                    <w:pPr>
                      <w:pStyle w:val="Bezmezer"/>
                      <w:jc w:val="center"/>
                      <w:rPr>
                        <w:b/>
                        <w:bCs/>
                      </w:rPr>
                    </w:pPr>
                    <w:proofErr w:type="gramStart"/>
                    <w:r>
                      <w:rPr>
                        <w:b/>
                        <w:bCs/>
                      </w:rPr>
                      <w:t>9</w:t>
                    </w:r>
                    <w:r w:rsidR="001D4744">
                      <w:rPr>
                        <w:b/>
                        <w:bCs/>
                      </w:rPr>
                      <w:t>.11.2012</w:t>
                    </w:r>
                    <w:proofErr w:type="gramEnd"/>
                  </w:p>
                </w:tc>
              </w:sdtContent>
            </w:sdt>
          </w:tr>
        </w:tbl>
        <w:p w:rsidR="001D4744" w:rsidRDefault="001D4744"/>
        <w:p w:rsidR="001D4744" w:rsidRDefault="001D4744"/>
        <w:tbl>
          <w:tblPr>
            <w:tblpPr w:leftFromText="187" w:rightFromText="187" w:horzAnchor="margin" w:tblpXSpec="center" w:tblpYSpec="bottom"/>
            <w:tblW w:w="5000" w:type="pct"/>
            <w:tblLook w:val="04A0" w:firstRow="1" w:lastRow="0" w:firstColumn="1" w:lastColumn="0" w:noHBand="0" w:noVBand="1"/>
          </w:tblPr>
          <w:tblGrid>
            <w:gridCol w:w="9288"/>
          </w:tblGrid>
          <w:tr w:rsidR="001D4744">
            <w:tc>
              <w:tcPr>
                <w:tcW w:w="5000" w:type="pct"/>
              </w:tcPr>
              <w:p w:rsidR="001D4744" w:rsidRDefault="001D4744">
                <w:pPr>
                  <w:pStyle w:val="Bezmezer"/>
                </w:pPr>
              </w:p>
            </w:tc>
          </w:tr>
        </w:tbl>
        <w:p w:rsidR="001D4744" w:rsidRDefault="001D4744"/>
        <w:p w:rsidR="001D4744" w:rsidRDefault="001D4744">
          <w:r>
            <w:br w:type="page"/>
          </w:r>
        </w:p>
      </w:sdtContent>
    </w:sdt>
    <w:p w:rsidR="005C13F0" w:rsidRDefault="001D4744" w:rsidP="001D4744">
      <w:pPr>
        <w:pStyle w:val="Nadpis1"/>
      </w:pPr>
      <w:r>
        <w:lastRenderedPageBreak/>
        <w:t>Zadání</w:t>
      </w:r>
    </w:p>
    <w:p w:rsidR="000A791F" w:rsidRPr="000A791F" w:rsidRDefault="00006357" w:rsidP="000A791F">
      <w:r>
        <w:t>Cílem zadání bylo pro semestrální práci A přidat animační prvky, které by vytvořili ukázkovou funkčnost celého modelu.</w:t>
      </w:r>
    </w:p>
    <w:p w:rsidR="000A791F" w:rsidRDefault="000A791F" w:rsidP="005C6FD3">
      <w:pPr>
        <w:pStyle w:val="Nadpis2"/>
        <w:jc w:val="center"/>
      </w:pPr>
      <w:r>
        <w:rPr>
          <w:noProof/>
          <w:lang w:eastAsia="cs-CZ"/>
        </w:rPr>
        <w:drawing>
          <wp:inline distT="0" distB="0" distL="0" distR="0" wp14:anchorId="30CD6E35" wp14:editId="52B51AE0">
            <wp:extent cx="5760720" cy="399992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760720" cy="3999922"/>
                    </a:xfrm>
                    <a:prstGeom prst="rect">
                      <a:avLst/>
                    </a:prstGeom>
                  </pic:spPr>
                </pic:pic>
              </a:graphicData>
            </a:graphic>
          </wp:inline>
        </w:drawing>
      </w:r>
    </w:p>
    <w:p w:rsidR="00584C7B" w:rsidRDefault="00584C7B" w:rsidP="00584C7B">
      <w:pPr>
        <w:pStyle w:val="Nadpis1"/>
      </w:pPr>
      <w:r>
        <w:t>Vypracování</w:t>
      </w:r>
    </w:p>
    <w:p w:rsidR="001D4744" w:rsidRDefault="001D4744" w:rsidP="001D4744">
      <w:pPr>
        <w:pStyle w:val="Nadpis2"/>
      </w:pPr>
      <w:r>
        <w:t>Původní model</w:t>
      </w:r>
    </w:p>
    <w:p w:rsidR="00E61753" w:rsidRDefault="00006357" w:rsidP="000A791F">
      <w:r>
        <w:t>Jelikož jsem v semestrální práci A využil dopravníkových pásů, které přímo podporují animaci, bylo vypracování semestrální práce B otázkou nauč</w:t>
      </w:r>
      <w:r w:rsidR="007414A5">
        <w:t>it se animovat tyto dopravníky a následně animovat stanoviště, aby bylo poznat, kdy je které v provozu a kdy pouze čeká.</w:t>
      </w:r>
    </w:p>
    <w:p w:rsidR="00314E06" w:rsidRDefault="00314E06" w:rsidP="000A791F">
      <w:r>
        <w:t>Samotná montážní linka zůstala díky použití dopravníků beze změny.</w:t>
      </w:r>
    </w:p>
    <w:p w:rsidR="00C92121" w:rsidRDefault="005C6FD3" w:rsidP="00C92121">
      <w:pPr>
        <w:keepNext/>
        <w:jc w:val="center"/>
      </w:pPr>
      <w:r>
        <w:rPr>
          <w:noProof/>
          <w:lang w:eastAsia="cs-CZ"/>
        </w:rPr>
        <w:lastRenderedPageBreak/>
        <w:drawing>
          <wp:inline distT="0" distB="0" distL="0" distR="0" wp14:anchorId="2108A31C" wp14:editId="63661EF8">
            <wp:extent cx="5057775" cy="495531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057775" cy="4955315"/>
                    </a:xfrm>
                    <a:prstGeom prst="rect">
                      <a:avLst/>
                    </a:prstGeom>
                  </pic:spPr>
                </pic:pic>
              </a:graphicData>
            </a:graphic>
          </wp:inline>
        </w:drawing>
      </w:r>
    </w:p>
    <w:p w:rsidR="00310B1D" w:rsidRDefault="00C92121" w:rsidP="00C92121">
      <w:pPr>
        <w:pStyle w:val="Titulek"/>
        <w:jc w:val="center"/>
      </w:pPr>
      <w:r>
        <w:t>Montážní linka</w:t>
      </w:r>
    </w:p>
    <w:p w:rsidR="00314E06" w:rsidRDefault="00314E06" w:rsidP="00CB23BC">
      <w:pPr>
        <w:keepNext/>
      </w:pPr>
      <w:r>
        <w:rPr>
          <w:noProof/>
          <w:lang w:eastAsia="cs-CZ"/>
        </w:rPr>
        <w:drawing>
          <wp:inline distT="0" distB="0" distL="0" distR="0" wp14:anchorId="233429C8" wp14:editId="23339B19">
            <wp:extent cx="5591175" cy="3198608"/>
            <wp:effectExtent l="0" t="0" r="0" b="190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591094" cy="3198561"/>
                    </a:xfrm>
                    <a:prstGeom prst="rect">
                      <a:avLst/>
                    </a:prstGeom>
                  </pic:spPr>
                </pic:pic>
              </a:graphicData>
            </a:graphic>
          </wp:inline>
        </w:drawing>
      </w:r>
    </w:p>
    <w:p w:rsidR="00314E06" w:rsidRDefault="00314E06" w:rsidP="00314E06">
      <w:pPr>
        <w:pStyle w:val="Titulek"/>
        <w:jc w:val="center"/>
      </w:pPr>
      <w:r>
        <w:t>Animační model včetně dopravníků a stanovišť</w:t>
      </w:r>
    </w:p>
    <w:p w:rsidR="00314E06" w:rsidRPr="00314E06" w:rsidRDefault="00FC0B82" w:rsidP="00314E06">
      <w:r>
        <w:lastRenderedPageBreak/>
        <w:t xml:space="preserve">Data z varianty bez animace a varianty s animací, v obou případech s využitím dopravních pásů, vycházejí naprosto shodně. Tedy v mém případě mi animace samotného modelu nikterak neovlivnila model, což je dáno nejspíše tím, že model samotný zůstal téměř beze změn. Jedinou změnou bylo alokace nových zdrojů, abych dokázal rozpoznat, kdy je vytížen zdroj pomocí opravy mechanikem, což ale vytěžovalo nový zdroj, tedy na samotný průběh simulace </w:t>
      </w:r>
      <w:r w:rsidR="00C46F0A">
        <w:t xml:space="preserve">tato úprava neměla </w:t>
      </w:r>
      <w:r>
        <w:t>vliv.</w:t>
      </w:r>
    </w:p>
    <w:p w:rsidR="00C92121" w:rsidRDefault="00FE6FF4" w:rsidP="00C92121">
      <w:pPr>
        <w:keepNext/>
        <w:jc w:val="center"/>
      </w:pPr>
      <w:r>
        <w:rPr>
          <w:noProof/>
          <w:lang w:eastAsia="cs-CZ"/>
        </w:rPr>
        <w:drawing>
          <wp:inline distT="0" distB="0" distL="0" distR="0" wp14:anchorId="5AC22C4B" wp14:editId="79F3E497">
            <wp:extent cx="5760720" cy="3093058"/>
            <wp:effectExtent l="0" t="0" r="11430" b="12700"/>
            <wp:docPr id="16" name="Graf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90186" w:rsidRDefault="00C92121" w:rsidP="00AD26A3">
      <w:pPr>
        <w:pStyle w:val="Titulek"/>
        <w:jc w:val="center"/>
      </w:pPr>
      <w:r>
        <w:t>Ustalování denní produkce</w:t>
      </w:r>
    </w:p>
    <w:p w:rsidR="00C92121" w:rsidRDefault="00372B28" w:rsidP="00C92121">
      <w:pPr>
        <w:keepNext/>
        <w:jc w:val="center"/>
      </w:pPr>
      <w:r>
        <w:rPr>
          <w:noProof/>
          <w:lang w:eastAsia="cs-CZ"/>
        </w:rPr>
        <w:drawing>
          <wp:inline distT="0" distB="0" distL="0" distR="0" wp14:anchorId="0AA5893D" wp14:editId="7BC52C3C">
            <wp:extent cx="4905375" cy="2743200"/>
            <wp:effectExtent l="0" t="0" r="9525" b="19050"/>
            <wp:docPr id="7"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90186" w:rsidRDefault="00C92121" w:rsidP="00C92121">
      <w:pPr>
        <w:pStyle w:val="Titulek"/>
        <w:jc w:val="center"/>
      </w:pPr>
      <w:r>
        <w:t>Vytížení zdrojů</w:t>
      </w:r>
    </w:p>
    <w:p w:rsidR="005D11A9" w:rsidRPr="005D11A9" w:rsidRDefault="00B74D47" w:rsidP="005D11A9">
      <w:pPr>
        <w:jc w:val="center"/>
      </w:pPr>
      <w:r>
        <w:rPr>
          <w:noProof/>
          <w:lang w:eastAsia="cs-CZ"/>
        </w:rPr>
        <w:lastRenderedPageBreak/>
        <w:drawing>
          <wp:inline distT="0" distB="0" distL="0" distR="0" wp14:anchorId="6D13D6B2" wp14:editId="4B554A93">
            <wp:extent cx="4572000" cy="2743200"/>
            <wp:effectExtent l="0" t="0" r="19050" b="19050"/>
            <wp:docPr id="23" name="Graf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bookmarkStart w:id="0" w:name="_GoBack"/>
      <w:bookmarkEnd w:id="0"/>
    </w:p>
    <w:p w:rsidR="001D4744" w:rsidRDefault="001D4744" w:rsidP="001D4744">
      <w:pPr>
        <w:pStyle w:val="Nadpis2"/>
      </w:pPr>
      <w:r>
        <w:t>Optimalizace</w:t>
      </w:r>
    </w:p>
    <w:p w:rsidR="001F5A32" w:rsidRDefault="00AD26A3" w:rsidP="00836C71">
      <w:r>
        <w:t xml:space="preserve">Díky animaci, jsem mohl postupovat mnohem dále v optimalizaci, jelikož v každém kroku </w:t>
      </w:r>
      <w:r w:rsidR="005E6242">
        <w:t>jsem měl</w:t>
      </w:r>
      <w:r>
        <w:t xml:space="preserve"> mnohem lepší přehled o tom, co se v modelu děje a jak simulace probíhá. </w:t>
      </w:r>
      <w:r w:rsidR="001842ED">
        <w:t>Pomocí animace jsem například odhalil, že dopravní pásy mezi stanicemi MM20, MM30, MM40 a MM60 jsou zbytečně dlouhé, jelikož jejich montáž trvá kratší dobu, než samotné přesouvání palet po doprav</w:t>
      </w:r>
      <w:r w:rsidR="006C2EA9">
        <w:t>n</w:t>
      </w:r>
      <w:r w:rsidR="0084128A">
        <w:t>ím pásu.</w:t>
      </w:r>
      <w:r w:rsidR="001842ED">
        <w:t xml:space="preserve"> </w:t>
      </w:r>
      <w:r w:rsidR="0084128A">
        <w:t>To</w:t>
      </w:r>
      <w:r w:rsidR="001842ED">
        <w:t xml:space="preserve"> jsem v semestrální práci A vůbec nedokázal podchytit. Tím jsem výrazně zvýšil produkci linky. </w:t>
      </w:r>
      <w:r w:rsidR="006C2EA9">
        <w:t>Další vylepšení přišlo v podobě prodloužení pásů mezi ostatními linkami, kde se naopak tvořily fronty a tím pádem se zbytečně brzdily další linky</w:t>
      </w:r>
      <w:r w:rsidR="005E6242">
        <w:t>, které v případě vzniku poruchy na této lince s nedostatečným dopravníkem nemohly vyrábět.</w:t>
      </w:r>
    </w:p>
    <w:p w:rsidR="00F72AF2" w:rsidRDefault="00F72AF2" w:rsidP="00F72AF2">
      <w:pPr>
        <w:pStyle w:val="Nadpis3"/>
      </w:pPr>
      <w:r>
        <w:t>Model 1</w:t>
      </w:r>
    </w:p>
    <w:p w:rsidR="00F72AF2" w:rsidRDefault="00F72AF2" w:rsidP="00F72AF2">
      <w:r>
        <w:t xml:space="preserve">Po spuštění animace jsem </w:t>
      </w:r>
      <w:r w:rsidR="002C7DF9">
        <w:t xml:space="preserve">optimalizoval délky front a to MM20, MM30, MM40 a MM60 jsem zkrátil na 3 palety a TEST a MM50 jsem prodloužil na 10 palet. Palety k opravně a z ní jsem stanovil na 2. Celkový počet palet 60 a dva opraváři. Z toho jsem získal denní produkci 491 TV/den. </w:t>
      </w:r>
    </w:p>
    <w:p w:rsidR="002C7DF9" w:rsidRDefault="00573081" w:rsidP="002C7DF9">
      <w:pPr>
        <w:jc w:val="center"/>
      </w:pPr>
      <w:r>
        <w:rPr>
          <w:noProof/>
          <w:lang w:eastAsia="cs-CZ"/>
        </w:rPr>
        <w:drawing>
          <wp:inline distT="0" distB="0" distL="0" distR="0" wp14:anchorId="56C1A152" wp14:editId="63736315">
            <wp:extent cx="5760720" cy="3093058"/>
            <wp:effectExtent l="0" t="0" r="11430" b="12700"/>
            <wp:docPr id="17" name="Graf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2C7DF9" w:rsidRDefault="002C7DF9" w:rsidP="002C7DF9">
      <w:pPr>
        <w:jc w:val="center"/>
      </w:pPr>
      <w:r>
        <w:rPr>
          <w:noProof/>
          <w:lang w:eastAsia="cs-CZ"/>
        </w:rPr>
        <w:lastRenderedPageBreak/>
        <w:drawing>
          <wp:inline distT="0" distB="0" distL="0" distR="0" wp14:anchorId="6B160EF2" wp14:editId="18A23A80">
            <wp:extent cx="4905375" cy="2743200"/>
            <wp:effectExtent l="0" t="0" r="9525" b="19050"/>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2C7DF9" w:rsidRDefault="001D7564" w:rsidP="002C7DF9">
      <w:pPr>
        <w:jc w:val="center"/>
      </w:pPr>
      <w:r>
        <w:rPr>
          <w:noProof/>
          <w:lang w:eastAsia="cs-CZ"/>
        </w:rPr>
        <w:drawing>
          <wp:inline distT="0" distB="0" distL="0" distR="0" wp14:anchorId="517CD3E2" wp14:editId="79869BF2">
            <wp:extent cx="4572000" cy="2743200"/>
            <wp:effectExtent l="0" t="0" r="19050" b="19050"/>
            <wp:docPr id="22" name="Graf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830D83" w:rsidRDefault="00830D83" w:rsidP="00830D83">
      <w:pPr>
        <w:pStyle w:val="Nadpis3"/>
      </w:pPr>
      <w:r>
        <w:t>Model 2</w:t>
      </w:r>
    </w:p>
    <w:p w:rsidR="00830D83" w:rsidRDefault="00830D83" w:rsidP="00830D83">
      <w:r>
        <w:t>Z modelu 1 jsem usoudil, že díky vysokému vytížení a poruchovosti MM50 se před ní tvoří dlouhá fronta a brzdí předchozí pracoviště a zároveň i stanoviště MM20 v případě poruchy brzdí MM10 a tak jsem jim prodloužil dopravníky. V případě MM20 na 5 palet a MM50 na 15.</w:t>
      </w:r>
    </w:p>
    <w:p w:rsidR="00830D83" w:rsidRDefault="00830D83" w:rsidP="00830D83">
      <w:r>
        <w:t>Tato úprava ovšem vedla již ke snížení denní produkce a to 490 TV/den.</w:t>
      </w:r>
    </w:p>
    <w:p w:rsidR="00830D83" w:rsidRDefault="00D43321" w:rsidP="00830D83">
      <w:pPr>
        <w:jc w:val="center"/>
      </w:pPr>
      <w:r>
        <w:rPr>
          <w:noProof/>
          <w:lang w:eastAsia="cs-CZ"/>
        </w:rPr>
        <w:lastRenderedPageBreak/>
        <w:drawing>
          <wp:inline distT="0" distB="0" distL="0" distR="0" wp14:anchorId="09726AC2" wp14:editId="23BF03D1">
            <wp:extent cx="5695950" cy="2990850"/>
            <wp:effectExtent l="0" t="0" r="19050" b="19050"/>
            <wp:docPr id="18" name="Graf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830D83" w:rsidRDefault="00830D83" w:rsidP="00830D83">
      <w:pPr>
        <w:jc w:val="center"/>
      </w:pPr>
      <w:r>
        <w:rPr>
          <w:noProof/>
          <w:lang w:eastAsia="cs-CZ"/>
        </w:rPr>
        <w:drawing>
          <wp:inline distT="0" distB="0" distL="0" distR="0" wp14:anchorId="36148D13" wp14:editId="194B2C49">
            <wp:extent cx="4905375" cy="2743200"/>
            <wp:effectExtent l="0" t="0" r="9525" b="19050"/>
            <wp:docPr id="10" name="Graf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830D83" w:rsidRDefault="003E7425" w:rsidP="00830D83">
      <w:pPr>
        <w:jc w:val="center"/>
      </w:pPr>
      <w:r>
        <w:rPr>
          <w:noProof/>
          <w:lang w:eastAsia="cs-CZ"/>
        </w:rPr>
        <w:drawing>
          <wp:inline distT="0" distB="0" distL="0" distR="0" wp14:anchorId="7FD784E3" wp14:editId="6E132E93">
            <wp:extent cx="4572000" cy="2743200"/>
            <wp:effectExtent l="0" t="0" r="19050" b="19050"/>
            <wp:docPr id="21" name="Graf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830D83" w:rsidRDefault="00830D83" w:rsidP="00830D83">
      <w:pPr>
        <w:pStyle w:val="Nadpis3"/>
      </w:pPr>
      <w:r>
        <w:lastRenderedPageBreak/>
        <w:t>Model 3</w:t>
      </w:r>
    </w:p>
    <w:p w:rsidR="00830D83" w:rsidRDefault="00830D83" w:rsidP="00830D83">
      <w:r>
        <w:t>V této variantě jsem zkrátil dopravním k MM50 na původních 10, zkrátil dopravník na MM30 a 40 na délku 1 palety a nechal 5 paletový dopravník na MM20. Dle modelu a předchozích výsledků i pozorování animace to vypadalo jako velice vhodné.</w:t>
      </w:r>
    </w:p>
    <w:p w:rsidR="00830D83" w:rsidRDefault="00830D83" w:rsidP="00830D83">
      <w:r>
        <w:t xml:space="preserve">Bohužel výsledek byl nejhorší ze všech.  Pouhých 487 TV/den. Z toho usuzuji, že ačkoliv produkce v některých dnech výroby probíhá opravdu plynule, v případě, že nastane v provozu závada </w:t>
      </w:r>
      <w:proofErr w:type="gramStart"/>
      <w:r>
        <w:t>je</w:t>
      </w:r>
      <w:proofErr w:type="gramEnd"/>
      <w:r>
        <w:t xml:space="preserve"> zastaven díky nízkému počtu odstavných prostor na dopravnících k zastavení celé linky a velkému propadu denní produkce.</w:t>
      </w:r>
    </w:p>
    <w:p w:rsidR="00830D83" w:rsidRDefault="00981DD3" w:rsidP="00830D83">
      <w:r>
        <w:rPr>
          <w:noProof/>
          <w:lang w:eastAsia="cs-CZ"/>
        </w:rPr>
        <w:drawing>
          <wp:inline distT="0" distB="0" distL="0" distR="0" wp14:anchorId="1DC85413" wp14:editId="3660A22C">
            <wp:extent cx="5760720" cy="3093058"/>
            <wp:effectExtent l="0" t="0" r="11430" b="12700"/>
            <wp:docPr id="19" name="Graf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AB2DA7" w:rsidRDefault="001E2980" w:rsidP="001E2980">
      <w:pPr>
        <w:jc w:val="center"/>
      </w:pPr>
      <w:r>
        <w:rPr>
          <w:noProof/>
          <w:lang w:eastAsia="cs-CZ"/>
        </w:rPr>
        <w:drawing>
          <wp:inline distT="0" distB="0" distL="0" distR="0" wp14:anchorId="701417A3" wp14:editId="03C9E0DE">
            <wp:extent cx="4905375" cy="2743200"/>
            <wp:effectExtent l="0" t="0" r="9525" b="19050"/>
            <wp:docPr id="14" name="Graf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1E2980" w:rsidRPr="00830D83" w:rsidRDefault="003E7425" w:rsidP="001E2980">
      <w:pPr>
        <w:jc w:val="center"/>
      </w:pPr>
      <w:r>
        <w:rPr>
          <w:noProof/>
          <w:lang w:eastAsia="cs-CZ"/>
        </w:rPr>
        <w:lastRenderedPageBreak/>
        <w:drawing>
          <wp:inline distT="0" distB="0" distL="0" distR="0" wp14:anchorId="55FA0542" wp14:editId="23A1436E">
            <wp:extent cx="4572000" cy="2743200"/>
            <wp:effectExtent l="0" t="0" r="19050" b="19050"/>
            <wp:docPr id="20" name="Graf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9736CC" w:rsidRDefault="009736CC" w:rsidP="009736CC">
      <w:pPr>
        <w:pStyle w:val="Nadpis1"/>
      </w:pPr>
      <w:r>
        <w:t>Závěr</w:t>
      </w:r>
    </w:p>
    <w:p w:rsidR="009177CA" w:rsidRDefault="00836C71" w:rsidP="009736CC">
      <w:r>
        <w:t xml:space="preserve">Díky animaci jsem byl schopen odhalit další kritická místa výroby, která jsem v semestrální práci A naprosto </w:t>
      </w:r>
      <w:r w:rsidR="00CD08E0">
        <w:t xml:space="preserve">fatálně </w:t>
      </w:r>
      <w:r w:rsidR="00370159">
        <w:t>pominul.</w:t>
      </w:r>
      <w:r>
        <w:t xml:space="preserve"> </w:t>
      </w:r>
      <w:r w:rsidR="00370159">
        <w:t>V původní práci mne vůbec</w:t>
      </w:r>
      <w:r>
        <w:t xml:space="preserve"> nenapadla jejich úprava</w:t>
      </w:r>
      <w:r w:rsidR="00370159">
        <w:t xml:space="preserve"> tímto stylem</w:t>
      </w:r>
      <w:r>
        <w:t xml:space="preserve">. </w:t>
      </w:r>
      <w:r w:rsidR="00370159">
        <w:t xml:space="preserve">Pomocí animace jsem lépe rozpoznal kritická místa. </w:t>
      </w:r>
      <w:r>
        <w:t xml:space="preserve">Díky tomu jsem </w:t>
      </w:r>
      <w:r w:rsidR="00683312">
        <w:t>se hodnotou 49</w:t>
      </w:r>
      <w:r w:rsidR="001E2980">
        <w:t>1</w:t>
      </w:r>
      <w:r w:rsidR="00683312">
        <w:t xml:space="preserve"> TV/den téměř přiblížil </w:t>
      </w:r>
      <w:r w:rsidR="001E2980">
        <w:t>i požadované denní produkci</w:t>
      </w:r>
      <w:r>
        <w:t xml:space="preserve"> alespoň 500 TV denně</w:t>
      </w:r>
      <w:r w:rsidR="00683312">
        <w:t>.</w:t>
      </w:r>
    </w:p>
    <w:p w:rsidR="00836C71" w:rsidRPr="009736CC" w:rsidRDefault="00836C71" w:rsidP="009736CC">
      <w:r>
        <w:t xml:space="preserve">Tedy hlavní výhodou simulace s animací vnímám jako další výpomoc v optimalizaci </w:t>
      </w:r>
      <w:r w:rsidR="004665CA">
        <w:t xml:space="preserve">zdrojů a celého procesu, ačkoliv někdy v případě poruch ani tato metoda není moc nápomocná, jelikož by se muselo zkoumat celé animační období, což vzhledem k délce procesu není </w:t>
      </w:r>
      <w:r w:rsidR="004073C3">
        <w:t>možné</w:t>
      </w:r>
      <w:r w:rsidR="004665CA">
        <w:t>.</w:t>
      </w:r>
    </w:p>
    <w:sectPr w:rsidR="00836C71" w:rsidRPr="009736CC" w:rsidSect="001D4744">
      <w:footerReference w:type="default" r:id="rId23"/>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61AA" w:rsidRDefault="000A61AA" w:rsidP="001D4744">
      <w:pPr>
        <w:spacing w:after="0" w:line="240" w:lineRule="auto"/>
      </w:pPr>
      <w:r>
        <w:separator/>
      </w:r>
    </w:p>
  </w:endnote>
  <w:endnote w:type="continuationSeparator" w:id="0">
    <w:p w:rsidR="000A61AA" w:rsidRDefault="000A61AA" w:rsidP="001D47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7027755"/>
      <w:docPartObj>
        <w:docPartGallery w:val="Page Numbers (Bottom of Page)"/>
        <w:docPartUnique/>
      </w:docPartObj>
    </w:sdtPr>
    <w:sdtEndPr/>
    <w:sdtContent>
      <w:p w:rsidR="001D4744" w:rsidRDefault="001D4744">
        <w:pPr>
          <w:pStyle w:val="Zpat"/>
          <w:jc w:val="right"/>
        </w:pPr>
        <w:r>
          <w:fldChar w:fldCharType="begin"/>
        </w:r>
        <w:r>
          <w:instrText>PAGE   \* MERGEFORMAT</w:instrText>
        </w:r>
        <w:r>
          <w:fldChar w:fldCharType="separate"/>
        </w:r>
        <w:r w:rsidR="00B74D47">
          <w:rPr>
            <w:noProof/>
          </w:rPr>
          <w:t>7</w:t>
        </w:r>
        <w:r>
          <w:fldChar w:fldCharType="end"/>
        </w:r>
      </w:p>
    </w:sdtContent>
  </w:sdt>
  <w:p w:rsidR="001D4744" w:rsidRDefault="001D474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61AA" w:rsidRDefault="000A61AA" w:rsidP="001D4744">
      <w:pPr>
        <w:spacing w:after="0" w:line="240" w:lineRule="auto"/>
      </w:pPr>
      <w:r>
        <w:separator/>
      </w:r>
    </w:p>
  </w:footnote>
  <w:footnote w:type="continuationSeparator" w:id="0">
    <w:p w:rsidR="000A61AA" w:rsidRDefault="000A61AA" w:rsidP="001D474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744"/>
    <w:rsid w:val="00006357"/>
    <w:rsid w:val="000572EE"/>
    <w:rsid w:val="000A61AA"/>
    <w:rsid w:val="000A791F"/>
    <w:rsid w:val="00156AAF"/>
    <w:rsid w:val="001842ED"/>
    <w:rsid w:val="001A12D5"/>
    <w:rsid w:val="001D4744"/>
    <w:rsid w:val="001D7564"/>
    <w:rsid w:val="001E2980"/>
    <w:rsid w:val="001F5A32"/>
    <w:rsid w:val="00251191"/>
    <w:rsid w:val="00277708"/>
    <w:rsid w:val="002C7DF9"/>
    <w:rsid w:val="002F753C"/>
    <w:rsid w:val="0030687E"/>
    <w:rsid w:val="00310B1D"/>
    <w:rsid w:val="00310B59"/>
    <w:rsid w:val="00314E06"/>
    <w:rsid w:val="00370159"/>
    <w:rsid w:val="00372B28"/>
    <w:rsid w:val="003752F1"/>
    <w:rsid w:val="003E2F4F"/>
    <w:rsid w:val="003E63D9"/>
    <w:rsid w:val="003E7425"/>
    <w:rsid w:val="004073C3"/>
    <w:rsid w:val="004158B2"/>
    <w:rsid w:val="0043548D"/>
    <w:rsid w:val="00446888"/>
    <w:rsid w:val="00447EE9"/>
    <w:rsid w:val="0046267A"/>
    <w:rsid w:val="004665CA"/>
    <w:rsid w:val="00496452"/>
    <w:rsid w:val="004A6C45"/>
    <w:rsid w:val="004B7BA4"/>
    <w:rsid w:val="00505309"/>
    <w:rsid w:val="00505538"/>
    <w:rsid w:val="005102B8"/>
    <w:rsid w:val="005436AA"/>
    <w:rsid w:val="005579FF"/>
    <w:rsid w:val="00573081"/>
    <w:rsid w:val="00584C7B"/>
    <w:rsid w:val="00590186"/>
    <w:rsid w:val="005C13F0"/>
    <w:rsid w:val="005C6FD3"/>
    <w:rsid w:val="005D11A9"/>
    <w:rsid w:val="005E6242"/>
    <w:rsid w:val="005F33FF"/>
    <w:rsid w:val="00683312"/>
    <w:rsid w:val="0068527F"/>
    <w:rsid w:val="00697A01"/>
    <w:rsid w:val="006C2EA9"/>
    <w:rsid w:val="0071652A"/>
    <w:rsid w:val="007414A5"/>
    <w:rsid w:val="007427BA"/>
    <w:rsid w:val="007D4EC2"/>
    <w:rsid w:val="007E66AA"/>
    <w:rsid w:val="0080525D"/>
    <w:rsid w:val="00830D83"/>
    <w:rsid w:val="00836C71"/>
    <w:rsid w:val="0084128A"/>
    <w:rsid w:val="008534B4"/>
    <w:rsid w:val="00872CCB"/>
    <w:rsid w:val="00895C38"/>
    <w:rsid w:val="008B2670"/>
    <w:rsid w:val="008F155F"/>
    <w:rsid w:val="009177CA"/>
    <w:rsid w:val="009736CC"/>
    <w:rsid w:val="009743A0"/>
    <w:rsid w:val="00981DD3"/>
    <w:rsid w:val="00993647"/>
    <w:rsid w:val="009969D0"/>
    <w:rsid w:val="009D77A7"/>
    <w:rsid w:val="00A81EDA"/>
    <w:rsid w:val="00AB2DA7"/>
    <w:rsid w:val="00AD26A3"/>
    <w:rsid w:val="00B30901"/>
    <w:rsid w:val="00B63ADA"/>
    <w:rsid w:val="00B67DD3"/>
    <w:rsid w:val="00B74D47"/>
    <w:rsid w:val="00C46F0A"/>
    <w:rsid w:val="00C63CA8"/>
    <w:rsid w:val="00C717EF"/>
    <w:rsid w:val="00C74667"/>
    <w:rsid w:val="00C92121"/>
    <w:rsid w:val="00CB23BC"/>
    <w:rsid w:val="00CD08E0"/>
    <w:rsid w:val="00CD6716"/>
    <w:rsid w:val="00D272A8"/>
    <w:rsid w:val="00D43321"/>
    <w:rsid w:val="00D7377C"/>
    <w:rsid w:val="00E13332"/>
    <w:rsid w:val="00E61753"/>
    <w:rsid w:val="00E762BA"/>
    <w:rsid w:val="00EC171F"/>
    <w:rsid w:val="00EC5A89"/>
    <w:rsid w:val="00F72AF2"/>
    <w:rsid w:val="00FC0B82"/>
    <w:rsid w:val="00FE6FF4"/>
    <w:rsid w:val="00FF57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1D474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1D474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5D11A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1D4744"/>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1D4744"/>
    <w:rPr>
      <w:rFonts w:eastAsiaTheme="minorEastAsia"/>
      <w:lang w:eastAsia="cs-CZ"/>
    </w:rPr>
  </w:style>
  <w:style w:type="paragraph" w:styleId="Textbubliny">
    <w:name w:val="Balloon Text"/>
    <w:basedOn w:val="Normln"/>
    <w:link w:val="TextbublinyChar"/>
    <w:uiPriority w:val="99"/>
    <w:semiHidden/>
    <w:unhideWhenUsed/>
    <w:rsid w:val="001D474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D4744"/>
    <w:rPr>
      <w:rFonts w:ascii="Tahoma" w:hAnsi="Tahoma" w:cs="Tahoma"/>
      <w:sz w:val="16"/>
      <w:szCs w:val="16"/>
    </w:rPr>
  </w:style>
  <w:style w:type="paragraph" w:styleId="Zhlav">
    <w:name w:val="header"/>
    <w:basedOn w:val="Normln"/>
    <w:link w:val="ZhlavChar"/>
    <w:uiPriority w:val="99"/>
    <w:unhideWhenUsed/>
    <w:rsid w:val="001D47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D4744"/>
  </w:style>
  <w:style w:type="paragraph" w:styleId="Zpat">
    <w:name w:val="footer"/>
    <w:basedOn w:val="Normln"/>
    <w:link w:val="ZpatChar"/>
    <w:uiPriority w:val="99"/>
    <w:unhideWhenUsed/>
    <w:rsid w:val="001D4744"/>
    <w:pPr>
      <w:tabs>
        <w:tab w:val="center" w:pos="4536"/>
        <w:tab w:val="right" w:pos="9072"/>
      </w:tabs>
      <w:spacing w:after="0" w:line="240" w:lineRule="auto"/>
    </w:pPr>
  </w:style>
  <w:style w:type="character" w:customStyle="1" w:styleId="ZpatChar">
    <w:name w:val="Zápatí Char"/>
    <w:basedOn w:val="Standardnpsmoodstavce"/>
    <w:link w:val="Zpat"/>
    <w:uiPriority w:val="99"/>
    <w:rsid w:val="001D4744"/>
  </w:style>
  <w:style w:type="character" w:customStyle="1" w:styleId="Nadpis1Char">
    <w:name w:val="Nadpis 1 Char"/>
    <w:basedOn w:val="Standardnpsmoodstavce"/>
    <w:link w:val="Nadpis1"/>
    <w:uiPriority w:val="9"/>
    <w:rsid w:val="001D4744"/>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1D4744"/>
    <w:rPr>
      <w:rFonts w:asciiTheme="majorHAnsi" w:eastAsiaTheme="majorEastAsia" w:hAnsiTheme="majorHAnsi" w:cstheme="majorBidi"/>
      <w:b/>
      <w:bCs/>
      <w:color w:val="4F81BD" w:themeColor="accent1"/>
      <w:sz w:val="26"/>
      <w:szCs w:val="26"/>
    </w:rPr>
  </w:style>
  <w:style w:type="paragraph" w:styleId="Titulek">
    <w:name w:val="caption"/>
    <w:basedOn w:val="Normln"/>
    <w:next w:val="Normln"/>
    <w:uiPriority w:val="35"/>
    <w:unhideWhenUsed/>
    <w:qFormat/>
    <w:rsid w:val="00C92121"/>
    <w:pPr>
      <w:spacing w:line="240" w:lineRule="auto"/>
    </w:pPr>
    <w:rPr>
      <w:b/>
      <w:bCs/>
      <w:color w:val="4F81BD" w:themeColor="accent1"/>
      <w:sz w:val="18"/>
      <w:szCs w:val="18"/>
    </w:rPr>
  </w:style>
  <w:style w:type="character" w:customStyle="1" w:styleId="Nadpis3Char">
    <w:name w:val="Nadpis 3 Char"/>
    <w:basedOn w:val="Standardnpsmoodstavce"/>
    <w:link w:val="Nadpis3"/>
    <w:uiPriority w:val="9"/>
    <w:rsid w:val="005D11A9"/>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1D474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1D474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5D11A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1D4744"/>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1D4744"/>
    <w:rPr>
      <w:rFonts w:eastAsiaTheme="minorEastAsia"/>
      <w:lang w:eastAsia="cs-CZ"/>
    </w:rPr>
  </w:style>
  <w:style w:type="paragraph" w:styleId="Textbubliny">
    <w:name w:val="Balloon Text"/>
    <w:basedOn w:val="Normln"/>
    <w:link w:val="TextbublinyChar"/>
    <w:uiPriority w:val="99"/>
    <w:semiHidden/>
    <w:unhideWhenUsed/>
    <w:rsid w:val="001D474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D4744"/>
    <w:rPr>
      <w:rFonts w:ascii="Tahoma" w:hAnsi="Tahoma" w:cs="Tahoma"/>
      <w:sz w:val="16"/>
      <w:szCs w:val="16"/>
    </w:rPr>
  </w:style>
  <w:style w:type="paragraph" w:styleId="Zhlav">
    <w:name w:val="header"/>
    <w:basedOn w:val="Normln"/>
    <w:link w:val="ZhlavChar"/>
    <w:uiPriority w:val="99"/>
    <w:unhideWhenUsed/>
    <w:rsid w:val="001D47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D4744"/>
  </w:style>
  <w:style w:type="paragraph" w:styleId="Zpat">
    <w:name w:val="footer"/>
    <w:basedOn w:val="Normln"/>
    <w:link w:val="ZpatChar"/>
    <w:uiPriority w:val="99"/>
    <w:unhideWhenUsed/>
    <w:rsid w:val="001D4744"/>
    <w:pPr>
      <w:tabs>
        <w:tab w:val="center" w:pos="4536"/>
        <w:tab w:val="right" w:pos="9072"/>
      </w:tabs>
      <w:spacing w:after="0" w:line="240" w:lineRule="auto"/>
    </w:pPr>
  </w:style>
  <w:style w:type="character" w:customStyle="1" w:styleId="ZpatChar">
    <w:name w:val="Zápatí Char"/>
    <w:basedOn w:val="Standardnpsmoodstavce"/>
    <w:link w:val="Zpat"/>
    <w:uiPriority w:val="99"/>
    <w:rsid w:val="001D4744"/>
  </w:style>
  <w:style w:type="character" w:customStyle="1" w:styleId="Nadpis1Char">
    <w:name w:val="Nadpis 1 Char"/>
    <w:basedOn w:val="Standardnpsmoodstavce"/>
    <w:link w:val="Nadpis1"/>
    <w:uiPriority w:val="9"/>
    <w:rsid w:val="001D4744"/>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1D4744"/>
    <w:rPr>
      <w:rFonts w:asciiTheme="majorHAnsi" w:eastAsiaTheme="majorEastAsia" w:hAnsiTheme="majorHAnsi" w:cstheme="majorBidi"/>
      <w:b/>
      <w:bCs/>
      <w:color w:val="4F81BD" w:themeColor="accent1"/>
      <w:sz w:val="26"/>
      <w:szCs w:val="26"/>
    </w:rPr>
  </w:style>
  <w:style w:type="paragraph" w:styleId="Titulek">
    <w:name w:val="caption"/>
    <w:basedOn w:val="Normln"/>
    <w:next w:val="Normln"/>
    <w:uiPriority w:val="35"/>
    <w:unhideWhenUsed/>
    <w:qFormat/>
    <w:rsid w:val="00C92121"/>
    <w:pPr>
      <w:spacing w:line="240" w:lineRule="auto"/>
    </w:pPr>
    <w:rPr>
      <w:b/>
      <w:bCs/>
      <w:color w:val="4F81BD" w:themeColor="accent1"/>
      <w:sz w:val="18"/>
      <w:szCs w:val="18"/>
    </w:rPr>
  </w:style>
  <w:style w:type="character" w:customStyle="1" w:styleId="Nadpis3Char">
    <w:name w:val="Nadpis 3 Char"/>
    <w:basedOn w:val="Standardnpsmoodstavce"/>
    <w:link w:val="Nadpis3"/>
    <w:uiPriority w:val="9"/>
    <w:rsid w:val="005D11A9"/>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3.xml"/><Relationship Id="rId18" Type="http://schemas.openxmlformats.org/officeDocument/2006/relationships/chart" Target="charts/chart8.xml"/><Relationship Id="rId3" Type="http://schemas.microsoft.com/office/2007/relationships/stylesWithEffects" Target="stylesWithEffects.xml"/><Relationship Id="rId21" Type="http://schemas.openxmlformats.org/officeDocument/2006/relationships/chart" Target="charts/chart11.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chart" Target="charts/chart7.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hart" Target="charts/chart6.xml"/><Relationship Id="rId20" Type="http://schemas.openxmlformats.org/officeDocument/2006/relationships/chart" Target="charts/chart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5.xml"/><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chart" Target="charts/chart9.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4.xml"/><Relationship Id="rId22" Type="http://schemas.openxmlformats.org/officeDocument/2006/relationships/chart" Target="charts/chart12.xml"/></Relationships>
</file>

<file path=word/charts/_rels/chart1.xml.rels><?xml version="1.0" encoding="UTF-8" standalone="yes"?>
<Relationships xmlns="http://schemas.openxmlformats.org/package/2006/relationships"><Relationship Id="rId1" Type="http://schemas.openxmlformats.org/officeDocument/2006/relationships/oleObject" Target="file:///D:\Upce\Materialy\11.semestr\intms_BazantKavicka\semestralky\TrakalMatej_intms_semA1\final_original.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D:\Upce\Materialy\11.semestr\intms_BazantKavicka\semestralky\TrakalMatej_intms_semA2\opt3\final_original.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D:\Upce\Materialy\11.semestr\intms_BazantKavicka\semestralky\TrakalMatej_intms_semA2\opt3\final_original.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D:\Upce\Materialy\11.semestr\intms_BazantKavicka\semestralky\TrakalMatej_intms_semA2\opt3\final_original.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Upce\Materialy\11.semestr\intms_BazantKavicka\semestralky\TrakalMatej_intms_semA1\final_original.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Upce\Materialy\11.semestr\intms_BazantKavicka\semestralky\TrakalMatej_intms_semA1\final_original.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Upce\Materialy\11.semestr\intms_BazantKavicka\semestralky\TrakalMatej_intms_semA2\opt1\final_original.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Upce\Materialy\11.semestr\intms_BazantKavicka\semestralky\TrakalMatej_intms_semA2\opt1\final_original.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Upce\Materialy\11.semestr\intms_BazantKavicka\semestralky\TrakalMatej_intms_semA2\opt1\final_original.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D:\Upce\Materialy\11.semestr\intms_BazantKavicka\semestralky\TrakalMatej_intms_semA2\opt2\final_original.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D:\Upce\Materialy\11.semestr\intms_BazantKavicka\semestralky\TrakalMatej_intms_semA2\opt2\final_original.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D:\Upce\Materialy\11.semestr\intms_BazantKavicka\semestralky\TrakalMatej_intms_semA2\opt2\final_origina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cs-CZ"/>
              <a:t>Ustalování</a:t>
            </a:r>
            <a:r>
              <a:rPr lang="cs-CZ" baseline="0"/>
              <a:t> denní produkce TV</a:t>
            </a:r>
          </a:p>
        </c:rich>
      </c:tx>
      <c:overlay val="0"/>
    </c:title>
    <c:autoTitleDeleted val="0"/>
    <c:plotArea>
      <c:layout/>
      <c:scatterChart>
        <c:scatterStyle val="smoothMarker"/>
        <c:varyColors val="0"/>
        <c:ser>
          <c:idx val="1"/>
          <c:order val="0"/>
          <c:tx>
            <c:strRef>
              <c:f>ZaIteraci!$C$1</c:f>
              <c:strCache>
                <c:ptCount val="1"/>
                <c:pt idx="0">
                  <c:v>Kumulativní průměr za iteraci</c:v>
                </c:pt>
              </c:strCache>
            </c:strRef>
          </c:tx>
          <c:marker>
            <c:symbol val="none"/>
          </c:marker>
          <c:yVal>
            <c:numRef>
              <c:f>ZaIteraci!$C$2:$C$82</c:f>
              <c:numCache>
                <c:formatCode>General</c:formatCode>
                <c:ptCount val="81"/>
                <c:pt idx="0">
                  <c:v>365.52</c:v>
                </c:pt>
                <c:pt idx="1">
                  <c:v>368.04999999999995</c:v>
                </c:pt>
                <c:pt idx="2">
                  <c:v>371.56666666666661</c:v>
                </c:pt>
                <c:pt idx="3">
                  <c:v>369.92499999999995</c:v>
                </c:pt>
                <c:pt idx="4">
                  <c:v>370.37599999999998</c:v>
                </c:pt>
                <c:pt idx="5">
                  <c:v>369.21333333333331</c:v>
                </c:pt>
                <c:pt idx="6">
                  <c:v>370.97714285714284</c:v>
                </c:pt>
                <c:pt idx="7">
                  <c:v>370.15999999999997</c:v>
                </c:pt>
                <c:pt idx="8">
                  <c:v>369.43333333333328</c:v>
                </c:pt>
                <c:pt idx="9">
                  <c:v>369.25599999999997</c:v>
                </c:pt>
                <c:pt idx="10">
                  <c:v>368.78181818181815</c:v>
                </c:pt>
                <c:pt idx="11">
                  <c:v>368.7949999999999</c:v>
                </c:pt>
                <c:pt idx="12">
                  <c:v>368.48769230769227</c:v>
                </c:pt>
                <c:pt idx="13">
                  <c:v>368.97285714285709</c:v>
                </c:pt>
                <c:pt idx="14">
                  <c:v>368.86799999999988</c:v>
                </c:pt>
                <c:pt idx="15">
                  <c:v>368.4899999999999</c:v>
                </c:pt>
                <c:pt idx="16">
                  <c:v>368.15294117647051</c:v>
                </c:pt>
                <c:pt idx="17">
                  <c:v>367.68888888888881</c:v>
                </c:pt>
                <c:pt idx="18">
                  <c:v>367.8947368421052</c:v>
                </c:pt>
                <c:pt idx="19">
                  <c:v>367.83699999999993</c:v>
                </c:pt>
                <c:pt idx="20">
                  <c:v>367.63904761904757</c:v>
                </c:pt>
                <c:pt idx="21">
                  <c:v>367.90909090909088</c:v>
                </c:pt>
                <c:pt idx="22">
                  <c:v>367.94347826086954</c:v>
                </c:pt>
                <c:pt idx="23">
                  <c:v>368.36166666666662</c:v>
                </c:pt>
                <c:pt idx="24">
                  <c:v>368.3855999999999</c:v>
                </c:pt>
                <c:pt idx="25">
                  <c:v>368.19923076923072</c:v>
                </c:pt>
                <c:pt idx="26">
                  <c:v>368.61037037037028</c:v>
                </c:pt>
                <c:pt idx="27">
                  <c:v>369.00785714285706</c:v>
                </c:pt>
                <c:pt idx="28">
                  <c:v>368.8386206896551</c:v>
                </c:pt>
                <c:pt idx="29">
                  <c:v>369.05599999999993</c:v>
                </c:pt>
                <c:pt idx="30">
                  <c:v>369.43225806451608</c:v>
                </c:pt>
                <c:pt idx="31">
                  <c:v>369.18124999999992</c:v>
                </c:pt>
                <c:pt idx="32">
                  <c:v>369.40121212121204</c:v>
                </c:pt>
                <c:pt idx="33">
                  <c:v>369.36470588235289</c:v>
                </c:pt>
                <c:pt idx="34">
                  <c:v>369.33371428571422</c:v>
                </c:pt>
                <c:pt idx="35">
                  <c:v>369.56277777777774</c:v>
                </c:pt>
                <c:pt idx="36">
                  <c:v>369.14810810810803</c:v>
                </c:pt>
                <c:pt idx="37">
                  <c:v>369.22105263157891</c:v>
                </c:pt>
                <c:pt idx="38">
                  <c:v>368.88717948717942</c:v>
                </c:pt>
                <c:pt idx="39">
                  <c:v>368.90549999999996</c:v>
                </c:pt>
                <c:pt idx="40">
                  <c:v>369.030243902439</c:v>
                </c:pt>
                <c:pt idx="41">
                  <c:v>369.11095238095237</c:v>
                </c:pt>
                <c:pt idx="42">
                  <c:v>369.21488372093023</c:v>
                </c:pt>
                <c:pt idx="43">
                  <c:v>369.32045454545454</c:v>
                </c:pt>
                <c:pt idx="44">
                  <c:v>369.47999999999996</c:v>
                </c:pt>
                <c:pt idx="45">
                  <c:v>369.54608695652172</c:v>
                </c:pt>
                <c:pt idx="46">
                  <c:v>369.67446808510641</c:v>
                </c:pt>
                <c:pt idx="47">
                  <c:v>369.58</c:v>
                </c:pt>
                <c:pt idx="48">
                  <c:v>369.49673469387756</c:v>
                </c:pt>
                <c:pt idx="49">
                  <c:v>369.7756</c:v>
                </c:pt>
              </c:numCache>
            </c:numRef>
          </c:yVal>
          <c:smooth val="1"/>
        </c:ser>
        <c:ser>
          <c:idx val="2"/>
          <c:order val="1"/>
          <c:tx>
            <c:strRef>
              <c:f>ZaIteraci!$G$1</c:f>
              <c:strCache>
                <c:ptCount val="1"/>
                <c:pt idx="0">
                  <c:v>Horní mez spolehlivosti</c:v>
                </c:pt>
              </c:strCache>
            </c:strRef>
          </c:tx>
          <c:marker>
            <c:symbol val="none"/>
          </c:marker>
          <c:yVal>
            <c:numRef>
              <c:f>ZaIteraci!$G$2:$G$82</c:f>
              <c:numCache>
                <c:formatCode>General</c:formatCode>
                <c:ptCount val="81"/>
                <c:pt idx="0">
                  <c:v>378.63121887654995</c:v>
                </c:pt>
                <c:pt idx="1">
                  <c:v>377.32103177722951</c:v>
                </c:pt>
                <c:pt idx="2">
                  <c:v>379.1364324144468</c:v>
                </c:pt>
                <c:pt idx="3">
                  <c:v>376.48060943827494</c:v>
                </c:pt>
                <c:pt idx="4">
                  <c:v>376.23951533516879</c:v>
                </c:pt>
                <c:pt idx="5">
                  <c:v>374.56596602558238</c:v>
                </c:pt>
                <c:pt idx="6">
                  <c:v>375.93271779032665</c:v>
                </c:pt>
                <c:pt idx="7">
                  <c:v>374.79551588861472</c:v>
                </c:pt>
                <c:pt idx="8">
                  <c:v>373.80373962551658</c:v>
                </c:pt>
                <c:pt idx="9">
                  <c:v>373.40213145508915</c:v>
                </c:pt>
                <c:pt idx="10">
                  <c:v>372.73499941434011</c:v>
                </c:pt>
                <c:pt idx="11">
                  <c:v>372.57988287389003</c:v>
                </c:pt>
                <c:pt idx="12">
                  <c:v>372.12409014947934</c:v>
                </c:pt>
                <c:pt idx="13">
                  <c:v>372.47697778278945</c:v>
                </c:pt>
                <c:pt idx="14">
                  <c:v>372.25330215715712</c:v>
                </c:pt>
                <c:pt idx="15">
                  <c:v>371.76780471913736</c:v>
                </c:pt>
                <c:pt idx="16">
                  <c:v>371.33287884168271</c:v>
                </c:pt>
                <c:pt idx="17">
                  <c:v>370.779232814632</c:v>
                </c:pt>
                <c:pt idx="18">
                  <c:v>370.9026567426065</c:v>
                </c:pt>
                <c:pt idx="19">
                  <c:v>370.76875766758434</c:v>
                </c:pt>
                <c:pt idx="20">
                  <c:v>370.50015014071062</c:v>
                </c:pt>
                <c:pt idx="21">
                  <c:v>370.70441216586653</c:v>
                </c:pt>
                <c:pt idx="22">
                  <c:v>370.6773563824874</c:v>
                </c:pt>
                <c:pt idx="23">
                  <c:v>371.03798301279113</c:v>
                </c:pt>
                <c:pt idx="24">
                  <c:v>371.00784377530988</c:v>
                </c:pt>
                <c:pt idx="25">
                  <c:v>370.77055234225048</c:v>
                </c:pt>
                <c:pt idx="26">
                  <c:v>371.13362561963032</c:v>
                </c:pt>
                <c:pt idx="27">
                  <c:v>371.48564460944897</c:v>
                </c:pt>
                <c:pt idx="28">
                  <c:v>371.27331291284941</c:v>
                </c:pt>
                <c:pt idx="29">
                  <c:v>371.44977011169124</c:v>
                </c:pt>
                <c:pt idx="30">
                  <c:v>371.78710249077801</c:v>
                </c:pt>
                <c:pt idx="31">
                  <c:v>371.49900794430732</c:v>
                </c:pt>
                <c:pt idx="32">
                  <c:v>371.68358236996397</c:v>
                </c:pt>
                <c:pt idx="33">
                  <c:v>371.61326136917495</c:v>
                </c:pt>
                <c:pt idx="34">
                  <c:v>371.54991476935282</c:v>
                </c:pt>
                <c:pt idx="35">
                  <c:v>371.74798092386942</c:v>
                </c:pt>
                <c:pt idx="36">
                  <c:v>371.30357921375173</c:v>
                </c:pt>
                <c:pt idx="37">
                  <c:v>371.34797319048931</c:v>
                </c:pt>
                <c:pt idx="38">
                  <c:v>370.98665476001577</c:v>
                </c:pt>
                <c:pt idx="39">
                  <c:v>370.97856572754455</c:v>
                </c:pt>
                <c:pt idx="40">
                  <c:v>371.07787227733473</c:v>
                </c:pt>
                <c:pt idx="41">
                  <c:v>371.13405737569025</c:v>
                </c:pt>
                <c:pt idx="42">
                  <c:v>371.21432585492198</c:v>
                </c:pt>
                <c:pt idx="43">
                  <c:v>371.29704516171552</c:v>
                </c:pt>
                <c:pt idx="44">
                  <c:v>371.4345051117229</c:v>
                </c:pt>
                <c:pt idx="45">
                  <c:v>371.47923071525526</c:v>
                </c:pt>
                <c:pt idx="46">
                  <c:v>371.58693591506142</c:v>
                </c:pt>
                <c:pt idx="47">
                  <c:v>371.47244143694502</c:v>
                </c:pt>
                <c:pt idx="48">
                  <c:v>371.36976596195615</c:v>
                </c:pt>
                <c:pt idx="49">
                  <c:v>371.62980635544591</c:v>
                </c:pt>
              </c:numCache>
            </c:numRef>
          </c:yVal>
          <c:smooth val="1"/>
        </c:ser>
        <c:ser>
          <c:idx val="3"/>
          <c:order val="2"/>
          <c:tx>
            <c:strRef>
              <c:f>ZaIteraci!$H$1</c:f>
              <c:strCache>
                <c:ptCount val="1"/>
                <c:pt idx="0">
                  <c:v>Dolní mez spolehlivosti</c:v>
                </c:pt>
              </c:strCache>
            </c:strRef>
          </c:tx>
          <c:marker>
            <c:symbol val="none"/>
          </c:marker>
          <c:yVal>
            <c:numRef>
              <c:f>ZaIteraci!$H$2:$H$82</c:f>
              <c:numCache>
                <c:formatCode>General</c:formatCode>
                <c:ptCount val="81"/>
                <c:pt idx="0">
                  <c:v>352.40878112345001</c:v>
                </c:pt>
                <c:pt idx="1">
                  <c:v>358.7789682227704</c:v>
                </c:pt>
                <c:pt idx="2">
                  <c:v>363.99690091888641</c:v>
                </c:pt>
                <c:pt idx="3">
                  <c:v>363.36939056172497</c:v>
                </c:pt>
                <c:pt idx="4">
                  <c:v>364.51248466483116</c:v>
                </c:pt>
                <c:pt idx="5">
                  <c:v>363.86070064108424</c:v>
                </c:pt>
                <c:pt idx="6">
                  <c:v>366.02156792395903</c:v>
                </c:pt>
                <c:pt idx="7">
                  <c:v>365.52448411138522</c:v>
                </c:pt>
                <c:pt idx="8">
                  <c:v>365.06292704114998</c:v>
                </c:pt>
                <c:pt idx="9">
                  <c:v>365.1098685449108</c:v>
                </c:pt>
                <c:pt idx="10">
                  <c:v>364.8286369492962</c:v>
                </c:pt>
                <c:pt idx="11">
                  <c:v>365.01011712610978</c:v>
                </c:pt>
                <c:pt idx="12">
                  <c:v>364.8512944659052</c:v>
                </c:pt>
                <c:pt idx="13">
                  <c:v>365.46873650292474</c:v>
                </c:pt>
                <c:pt idx="14">
                  <c:v>365.48269784284264</c:v>
                </c:pt>
                <c:pt idx="15">
                  <c:v>365.21219528086243</c:v>
                </c:pt>
                <c:pt idx="16">
                  <c:v>364.9730035112583</c:v>
                </c:pt>
                <c:pt idx="17">
                  <c:v>364.59854496314563</c:v>
                </c:pt>
                <c:pt idx="18">
                  <c:v>364.88681694160391</c:v>
                </c:pt>
                <c:pt idx="19">
                  <c:v>364.90524233241553</c:v>
                </c:pt>
                <c:pt idx="20">
                  <c:v>364.77794509738453</c:v>
                </c:pt>
                <c:pt idx="21">
                  <c:v>365.11376965231523</c:v>
                </c:pt>
                <c:pt idx="22">
                  <c:v>365.20960013925168</c:v>
                </c:pt>
                <c:pt idx="23">
                  <c:v>365.68535032054211</c:v>
                </c:pt>
                <c:pt idx="24">
                  <c:v>365.76335622468991</c:v>
                </c:pt>
                <c:pt idx="25">
                  <c:v>365.62790919621096</c:v>
                </c:pt>
                <c:pt idx="26">
                  <c:v>366.08711512111023</c:v>
                </c:pt>
                <c:pt idx="27">
                  <c:v>366.53006967626516</c:v>
                </c:pt>
                <c:pt idx="28">
                  <c:v>366.4039284664608</c:v>
                </c:pt>
                <c:pt idx="29">
                  <c:v>366.66222988830862</c:v>
                </c:pt>
                <c:pt idx="30">
                  <c:v>367.07741363825414</c:v>
                </c:pt>
                <c:pt idx="31">
                  <c:v>366.86349205569252</c:v>
                </c:pt>
                <c:pt idx="32">
                  <c:v>367.11884187246011</c:v>
                </c:pt>
                <c:pt idx="33">
                  <c:v>367.11615039553084</c:v>
                </c:pt>
                <c:pt idx="34">
                  <c:v>367.11751380207562</c:v>
                </c:pt>
                <c:pt idx="35">
                  <c:v>367.37757463168606</c:v>
                </c:pt>
                <c:pt idx="36">
                  <c:v>366.99263700246433</c:v>
                </c:pt>
                <c:pt idx="37">
                  <c:v>367.09413207266851</c:v>
                </c:pt>
                <c:pt idx="38">
                  <c:v>366.78770421434308</c:v>
                </c:pt>
                <c:pt idx="39">
                  <c:v>366.83243427245537</c:v>
                </c:pt>
                <c:pt idx="40">
                  <c:v>366.98261552754326</c:v>
                </c:pt>
                <c:pt idx="41">
                  <c:v>367.08784738621449</c:v>
                </c:pt>
                <c:pt idx="42">
                  <c:v>367.21544158693848</c:v>
                </c:pt>
                <c:pt idx="43">
                  <c:v>367.34386392919356</c:v>
                </c:pt>
                <c:pt idx="44">
                  <c:v>367.52549488827702</c:v>
                </c:pt>
                <c:pt idx="45">
                  <c:v>367.61294319778818</c:v>
                </c:pt>
                <c:pt idx="46">
                  <c:v>367.76200025515141</c:v>
                </c:pt>
                <c:pt idx="47">
                  <c:v>367.68755856305495</c:v>
                </c:pt>
                <c:pt idx="48">
                  <c:v>367.62370342579896</c:v>
                </c:pt>
                <c:pt idx="49">
                  <c:v>367.92139364455409</c:v>
                </c:pt>
              </c:numCache>
            </c:numRef>
          </c:yVal>
          <c:smooth val="1"/>
        </c:ser>
        <c:dLbls>
          <c:showLegendKey val="0"/>
          <c:showVal val="0"/>
          <c:showCatName val="0"/>
          <c:showSerName val="0"/>
          <c:showPercent val="0"/>
          <c:showBubbleSize val="0"/>
        </c:dLbls>
        <c:axId val="92052864"/>
        <c:axId val="92055040"/>
      </c:scatterChart>
      <c:valAx>
        <c:axId val="92052864"/>
        <c:scaling>
          <c:orientation val="minMax"/>
          <c:max val="50"/>
        </c:scaling>
        <c:delete val="0"/>
        <c:axPos val="b"/>
        <c:title>
          <c:tx>
            <c:rich>
              <a:bodyPr/>
              <a:lstStyle/>
              <a:p>
                <a:pPr>
                  <a:defRPr/>
                </a:pPr>
                <a:r>
                  <a:rPr lang="cs-CZ"/>
                  <a:t>Iterace</a:t>
                </a:r>
              </a:p>
            </c:rich>
          </c:tx>
          <c:overlay val="0"/>
        </c:title>
        <c:majorTickMark val="out"/>
        <c:minorTickMark val="none"/>
        <c:tickLblPos val="nextTo"/>
        <c:crossAx val="92055040"/>
        <c:crosses val="autoZero"/>
        <c:crossBetween val="midCat"/>
      </c:valAx>
      <c:valAx>
        <c:axId val="92055040"/>
        <c:scaling>
          <c:orientation val="minMax"/>
        </c:scaling>
        <c:delete val="0"/>
        <c:axPos val="l"/>
        <c:majorGridlines/>
        <c:title>
          <c:tx>
            <c:rich>
              <a:bodyPr rot="-5400000" vert="horz"/>
              <a:lstStyle/>
              <a:p>
                <a:pPr>
                  <a:defRPr/>
                </a:pPr>
                <a:r>
                  <a:rPr lang="cs-CZ"/>
                  <a:t>Počet vyrobených</a:t>
                </a:r>
                <a:r>
                  <a:rPr lang="cs-CZ" baseline="0"/>
                  <a:t> TV denně</a:t>
                </a:r>
                <a:endParaRPr lang="cs-CZ"/>
              </a:p>
            </c:rich>
          </c:tx>
          <c:overlay val="0"/>
        </c:title>
        <c:numFmt formatCode="General" sourceLinked="1"/>
        <c:majorTickMark val="out"/>
        <c:minorTickMark val="none"/>
        <c:tickLblPos val="nextTo"/>
        <c:crossAx val="92052864"/>
        <c:crosses val="autoZero"/>
        <c:crossBetween val="midCat"/>
      </c:valAx>
    </c:plotArea>
    <c:legend>
      <c:legendPos val="b"/>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cs-CZ"/>
              <a:t>Ustalování</a:t>
            </a:r>
            <a:r>
              <a:rPr lang="cs-CZ" baseline="0"/>
              <a:t> denní produkce TV</a:t>
            </a:r>
          </a:p>
        </c:rich>
      </c:tx>
      <c:overlay val="0"/>
    </c:title>
    <c:autoTitleDeleted val="0"/>
    <c:plotArea>
      <c:layout/>
      <c:scatterChart>
        <c:scatterStyle val="smoothMarker"/>
        <c:varyColors val="0"/>
        <c:ser>
          <c:idx val="1"/>
          <c:order val="0"/>
          <c:tx>
            <c:strRef>
              <c:f>ZaIteraci!$C$1</c:f>
              <c:strCache>
                <c:ptCount val="1"/>
                <c:pt idx="0">
                  <c:v>Kumulativní průměr za iteraci</c:v>
                </c:pt>
              </c:strCache>
            </c:strRef>
          </c:tx>
          <c:marker>
            <c:symbol val="none"/>
          </c:marker>
          <c:yVal>
            <c:numRef>
              <c:f>ZaIteraci!$C$2:$C$82</c:f>
              <c:numCache>
                <c:formatCode>General</c:formatCode>
                <c:ptCount val="81"/>
                <c:pt idx="0">
                  <c:v>487.18</c:v>
                </c:pt>
                <c:pt idx="1">
                  <c:v>484.26</c:v>
                </c:pt>
                <c:pt idx="2">
                  <c:v>487.56</c:v>
                </c:pt>
                <c:pt idx="3">
                  <c:v>489.24</c:v>
                </c:pt>
                <c:pt idx="4">
                  <c:v>488.74799999999993</c:v>
                </c:pt>
                <c:pt idx="5">
                  <c:v>487.77333333333331</c:v>
                </c:pt>
                <c:pt idx="6">
                  <c:v>488.37428571428569</c:v>
                </c:pt>
                <c:pt idx="7">
                  <c:v>488.29250000000002</c:v>
                </c:pt>
                <c:pt idx="8">
                  <c:v>489.05111111111114</c:v>
                </c:pt>
                <c:pt idx="9">
                  <c:v>488.74400000000003</c:v>
                </c:pt>
                <c:pt idx="10">
                  <c:v>487.16727272727275</c:v>
                </c:pt>
                <c:pt idx="11">
                  <c:v>487.13166666666666</c:v>
                </c:pt>
                <c:pt idx="12">
                  <c:v>486.27846153846156</c:v>
                </c:pt>
                <c:pt idx="13">
                  <c:v>486.02571428571429</c:v>
                </c:pt>
                <c:pt idx="14">
                  <c:v>485.79199999999997</c:v>
                </c:pt>
                <c:pt idx="15">
                  <c:v>485.82124999999996</c:v>
                </c:pt>
                <c:pt idx="16">
                  <c:v>485.88235294117646</c:v>
                </c:pt>
                <c:pt idx="17">
                  <c:v>486.41888888888894</c:v>
                </c:pt>
                <c:pt idx="18">
                  <c:v>487.17368421052635</c:v>
                </c:pt>
                <c:pt idx="19">
                  <c:v>487.19100000000009</c:v>
                </c:pt>
                <c:pt idx="20">
                  <c:v>487.85619047619053</c:v>
                </c:pt>
                <c:pt idx="21">
                  <c:v>488.26181818181828</c:v>
                </c:pt>
                <c:pt idx="22">
                  <c:v>487.74434782608705</c:v>
                </c:pt>
                <c:pt idx="23">
                  <c:v>487.21333333333342</c:v>
                </c:pt>
                <c:pt idx="24">
                  <c:v>487.16000000000008</c:v>
                </c:pt>
                <c:pt idx="25">
                  <c:v>487.13230769230779</c:v>
                </c:pt>
                <c:pt idx="26">
                  <c:v>487.63259259259263</c:v>
                </c:pt>
                <c:pt idx="27">
                  <c:v>488.08142857142866</c:v>
                </c:pt>
                <c:pt idx="28">
                  <c:v>488.25034482758628</c:v>
                </c:pt>
                <c:pt idx="29">
                  <c:v>488.15333333333342</c:v>
                </c:pt>
                <c:pt idx="30">
                  <c:v>488.22709677419363</c:v>
                </c:pt>
                <c:pt idx="31">
                  <c:v>488.12250000000006</c:v>
                </c:pt>
                <c:pt idx="32">
                  <c:v>488.1587878787879</c:v>
                </c:pt>
                <c:pt idx="33">
                  <c:v>488.18411764705888</c:v>
                </c:pt>
                <c:pt idx="34">
                  <c:v>488.08228571428572</c:v>
                </c:pt>
                <c:pt idx="35">
                  <c:v>487.75333333333339</c:v>
                </c:pt>
                <c:pt idx="36">
                  <c:v>487.91189189189191</c:v>
                </c:pt>
                <c:pt idx="37">
                  <c:v>487.85421052631585</c:v>
                </c:pt>
                <c:pt idx="38">
                  <c:v>487.96666666666675</c:v>
                </c:pt>
                <c:pt idx="39">
                  <c:v>487.87300000000016</c:v>
                </c:pt>
                <c:pt idx="40">
                  <c:v>487.99609756097573</c:v>
                </c:pt>
                <c:pt idx="41">
                  <c:v>488.02761904761911</c:v>
                </c:pt>
                <c:pt idx="42">
                  <c:v>488.28883720930236</c:v>
                </c:pt>
                <c:pt idx="43">
                  <c:v>488.31727272727278</c:v>
                </c:pt>
                <c:pt idx="44">
                  <c:v>488.24488888888897</c:v>
                </c:pt>
                <c:pt idx="45">
                  <c:v>488.08695652173918</c:v>
                </c:pt>
                <c:pt idx="46">
                  <c:v>487.69574468085113</c:v>
                </c:pt>
                <c:pt idx="47">
                  <c:v>487.52500000000009</c:v>
                </c:pt>
                <c:pt idx="48">
                  <c:v>487.36040816326539</c:v>
                </c:pt>
                <c:pt idx="49">
                  <c:v>487.23000000000008</c:v>
                </c:pt>
              </c:numCache>
            </c:numRef>
          </c:yVal>
          <c:smooth val="1"/>
        </c:ser>
        <c:ser>
          <c:idx val="2"/>
          <c:order val="1"/>
          <c:tx>
            <c:strRef>
              <c:f>ZaIteraci!$G$1</c:f>
              <c:strCache>
                <c:ptCount val="1"/>
                <c:pt idx="0">
                  <c:v>Horní mez spolehlivosti</c:v>
                </c:pt>
              </c:strCache>
            </c:strRef>
          </c:tx>
          <c:marker>
            <c:symbol val="none"/>
          </c:marker>
          <c:yVal>
            <c:numRef>
              <c:f>ZaIteraci!$G$2:$G$82</c:f>
              <c:numCache>
                <c:formatCode>General</c:formatCode>
                <c:ptCount val="81"/>
                <c:pt idx="0">
                  <c:v>501.93486029754263</c:v>
                </c:pt>
                <c:pt idx="1">
                  <c:v>494.69326177185258</c:v>
                </c:pt>
                <c:pt idx="2">
                  <c:v>496.07872256464157</c:v>
                </c:pt>
                <c:pt idx="3">
                  <c:v>496.61743014877135</c:v>
                </c:pt>
                <c:pt idx="4">
                  <c:v>495.34657412476355</c:v>
                </c:pt>
                <c:pt idx="5">
                  <c:v>493.79697982583821</c:v>
                </c:pt>
                <c:pt idx="6">
                  <c:v>493.95109871097117</c:v>
                </c:pt>
                <c:pt idx="7">
                  <c:v>493.50913088592631</c:v>
                </c:pt>
                <c:pt idx="8">
                  <c:v>493.96939787695868</c:v>
                </c:pt>
                <c:pt idx="9">
                  <c:v>493.40989650978247</c:v>
                </c:pt>
                <c:pt idx="10">
                  <c:v>491.6160304946419</c:v>
                </c:pt>
                <c:pt idx="11">
                  <c:v>491.39102794898747</c:v>
                </c:pt>
                <c:pt idx="12">
                  <c:v>490.37072348962295</c:v>
                </c:pt>
                <c:pt idx="13">
                  <c:v>489.96911657307987</c:v>
                </c:pt>
                <c:pt idx="14">
                  <c:v>489.60168854719996</c:v>
                </c:pt>
                <c:pt idx="15">
                  <c:v>489.5099650743856</c:v>
                </c:pt>
                <c:pt idx="16">
                  <c:v>489.46093220576472</c:v>
                </c:pt>
                <c:pt idx="17">
                  <c:v>489.89664281283979</c:v>
                </c:pt>
                <c:pt idx="18">
                  <c:v>490.55868131384472</c:v>
                </c:pt>
                <c:pt idx="19">
                  <c:v>490.49028706238192</c:v>
                </c:pt>
                <c:pt idx="20">
                  <c:v>491.07596496104708</c:v>
                </c:pt>
                <c:pt idx="21">
                  <c:v>491.40756496698134</c:v>
                </c:pt>
                <c:pt idx="22">
                  <c:v>490.82094887552313</c:v>
                </c:pt>
                <c:pt idx="23">
                  <c:v>490.22515657958587</c:v>
                </c:pt>
                <c:pt idx="24">
                  <c:v>490.11097205950858</c:v>
                </c:pt>
                <c:pt idx="25">
                  <c:v>490.02597386836567</c:v>
                </c:pt>
                <c:pt idx="26">
                  <c:v>490.4721667808065</c:v>
                </c:pt>
                <c:pt idx="27">
                  <c:v>490.8698350697714</c:v>
                </c:pt>
                <c:pt idx="28">
                  <c:v>490.99025360029361</c:v>
                </c:pt>
                <c:pt idx="29">
                  <c:v>490.84718993926725</c:v>
                </c:pt>
                <c:pt idx="30">
                  <c:v>490.87714791429664</c:v>
                </c:pt>
                <c:pt idx="31">
                  <c:v>490.73081544296321</c:v>
                </c:pt>
                <c:pt idx="32">
                  <c:v>490.72727937333792</c:v>
                </c:pt>
                <c:pt idx="33">
                  <c:v>490.71455531206283</c:v>
                </c:pt>
                <c:pt idx="34">
                  <c:v>490.57631230596434</c:v>
                </c:pt>
                <c:pt idx="35">
                  <c:v>490.21247671625719</c:v>
                </c:pt>
                <c:pt idx="36">
                  <c:v>490.33757598263992</c:v>
                </c:pt>
                <c:pt idx="37">
                  <c:v>490.24776493236908</c:v>
                </c:pt>
                <c:pt idx="38">
                  <c:v>490.32933520576421</c:v>
                </c:pt>
                <c:pt idx="39">
                  <c:v>490.20594825489138</c:v>
                </c:pt>
                <c:pt idx="40">
                  <c:v>490.30041959978382</c:v>
                </c:pt>
                <c:pt idx="41">
                  <c:v>490.30434341975263</c:v>
                </c:pt>
                <c:pt idx="42">
                  <c:v>490.5389323101349</c:v>
                </c:pt>
                <c:pt idx="43">
                  <c:v>490.54165161095733</c:v>
                </c:pt>
                <c:pt idx="44">
                  <c:v>490.44441359714352</c:v>
                </c:pt>
                <c:pt idx="45">
                  <c:v>490.26244198680109</c:v>
                </c:pt>
                <c:pt idx="46">
                  <c:v>489.8479622527048</c:v>
                </c:pt>
                <c:pt idx="47">
                  <c:v>489.6546806411605</c:v>
                </c:pt>
                <c:pt idx="48">
                  <c:v>489.46824534862861</c:v>
                </c:pt>
                <c:pt idx="49">
                  <c:v>489.3166523543706</c:v>
                </c:pt>
              </c:numCache>
            </c:numRef>
          </c:yVal>
          <c:smooth val="1"/>
        </c:ser>
        <c:ser>
          <c:idx val="3"/>
          <c:order val="2"/>
          <c:tx>
            <c:strRef>
              <c:f>ZaIteraci!$H$1</c:f>
              <c:strCache>
                <c:ptCount val="1"/>
                <c:pt idx="0">
                  <c:v>Dolní mez spolehlivosti</c:v>
                </c:pt>
              </c:strCache>
            </c:strRef>
          </c:tx>
          <c:marker>
            <c:symbol val="none"/>
          </c:marker>
          <c:yVal>
            <c:numRef>
              <c:f>ZaIteraci!$H$2:$H$82</c:f>
              <c:numCache>
                <c:formatCode>General</c:formatCode>
                <c:ptCount val="81"/>
                <c:pt idx="0">
                  <c:v>472.42513970245739</c:v>
                </c:pt>
                <c:pt idx="1">
                  <c:v>473.82673822814741</c:v>
                </c:pt>
                <c:pt idx="2">
                  <c:v>479.04127743535844</c:v>
                </c:pt>
                <c:pt idx="3">
                  <c:v>481.86256985122867</c:v>
                </c:pt>
                <c:pt idx="4">
                  <c:v>482.14942587523632</c:v>
                </c:pt>
                <c:pt idx="5">
                  <c:v>481.74968684082842</c:v>
                </c:pt>
                <c:pt idx="6">
                  <c:v>482.79747271760021</c:v>
                </c:pt>
                <c:pt idx="7">
                  <c:v>483.07586911407373</c:v>
                </c:pt>
                <c:pt idx="8">
                  <c:v>484.1328243452636</c:v>
                </c:pt>
                <c:pt idx="9">
                  <c:v>484.07810349021759</c:v>
                </c:pt>
                <c:pt idx="10">
                  <c:v>482.71851495990359</c:v>
                </c:pt>
                <c:pt idx="11">
                  <c:v>482.87230538434585</c:v>
                </c:pt>
                <c:pt idx="12">
                  <c:v>482.18619958730017</c:v>
                </c:pt>
                <c:pt idx="13">
                  <c:v>482.0823119983487</c:v>
                </c:pt>
                <c:pt idx="14">
                  <c:v>481.98231145279999</c:v>
                </c:pt>
                <c:pt idx="15">
                  <c:v>482.13253492561432</c:v>
                </c:pt>
                <c:pt idx="16">
                  <c:v>482.30377367658821</c:v>
                </c:pt>
                <c:pt idx="17">
                  <c:v>482.9411349649381</c:v>
                </c:pt>
                <c:pt idx="18">
                  <c:v>483.78868710720798</c:v>
                </c:pt>
                <c:pt idx="19">
                  <c:v>483.89171293761825</c:v>
                </c:pt>
                <c:pt idx="20">
                  <c:v>484.63641599133399</c:v>
                </c:pt>
                <c:pt idx="21">
                  <c:v>485.11607139665523</c:v>
                </c:pt>
                <c:pt idx="22">
                  <c:v>484.66774677665097</c:v>
                </c:pt>
                <c:pt idx="23">
                  <c:v>484.20151008708098</c:v>
                </c:pt>
                <c:pt idx="24">
                  <c:v>484.20902794049158</c:v>
                </c:pt>
                <c:pt idx="25">
                  <c:v>484.23864151624991</c:v>
                </c:pt>
                <c:pt idx="26">
                  <c:v>484.79301840437876</c:v>
                </c:pt>
                <c:pt idx="27">
                  <c:v>485.29302207308592</c:v>
                </c:pt>
                <c:pt idx="28">
                  <c:v>485.51043605487894</c:v>
                </c:pt>
                <c:pt idx="29">
                  <c:v>485.45947672739959</c:v>
                </c:pt>
                <c:pt idx="30">
                  <c:v>485.57704563409061</c:v>
                </c:pt>
                <c:pt idx="31">
                  <c:v>485.51418455703691</c:v>
                </c:pt>
                <c:pt idx="32">
                  <c:v>485.59029638423789</c:v>
                </c:pt>
                <c:pt idx="33">
                  <c:v>485.65367998205494</c:v>
                </c:pt>
                <c:pt idx="34">
                  <c:v>485.5882591226071</c:v>
                </c:pt>
                <c:pt idx="35">
                  <c:v>485.29418995040959</c:v>
                </c:pt>
                <c:pt idx="36">
                  <c:v>485.48620780114391</c:v>
                </c:pt>
                <c:pt idx="37">
                  <c:v>485.46065612026263</c:v>
                </c:pt>
                <c:pt idx="38">
                  <c:v>485.6039981275693</c:v>
                </c:pt>
                <c:pt idx="39">
                  <c:v>485.54005174510894</c:v>
                </c:pt>
                <c:pt idx="40">
                  <c:v>485.69177552216763</c:v>
                </c:pt>
                <c:pt idx="41">
                  <c:v>485.7508946754856</c:v>
                </c:pt>
                <c:pt idx="42">
                  <c:v>486.03874210846982</c:v>
                </c:pt>
                <c:pt idx="43">
                  <c:v>486.09289384358823</c:v>
                </c:pt>
                <c:pt idx="44">
                  <c:v>486.04536418063441</c:v>
                </c:pt>
                <c:pt idx="45">
                  <c:v>485.91147105667727</c:v>
                </c:pt>
                <c:pt idx="46">
                  <c:v>485.54352710899747</c:v>
                </c:pt>
                <c:pt idx="47">
                  <c:v>485.39531935883969</c:v>
                </c:pt>
                <c:pt idx="48">
                  <c:v>485.25257097790217</c:v>
                </c:pt>
                <c:pt idx="49">
                  <c:v>485.14334764562955</c:v>
                </c:pt>
              </c:numCache>
            </c:numRef>
          </c:yVal>
          <c:smooth val="1"/>
        </c:ser>
        <c:dLbls>
          <c:showLegendKey val="0"/>
          <c:showVal val="0"/>
          <c:showCatName val="0"/>
          <c:showSerName val="0"/>
          <c:showPercent val="0"/>
          <c:showBubbleSize val="0"/>
        </c:dLbls>
        <c:axId val="103773696"/>
        <c:axId val="103775616"/>
      </c:scatterChart>
      <c:valAx>
        <c:axId val="103773696"/>
        <c:scaling>
          <c:orientation val="minMax"/>
          <c:max val="50"/>
        </c:scaling>
        <c:delete val="0"/>
        <c:axPos val="b"/>
        <c:title>
          <c:tx>
            <c:rich>
              <a:bodyPr/>
              <a:lstStyle/>
              <a:p>
                <a:pPr>
                  <a:defRPr/>
                </a:pPr>
                <a:r>
                  <a:rPr lang="cs-CZ"/>
                  <a:t>Iterace</a:t>
                </a:r>
              </a:p>
            </c:rich>
          </c:tx>
          <c:overlay val="0"/>
        </c:title>
        <c:majorTickMark val="out"/>
        <c:minorTickMark val="none"/>
        <c:tickLblPos val="nextTo"/>
        <c:crossAx val="103775616"/>
        <c:crosses val="autoZero"/>
        <c:crossBetween val="midCat"/>
      </c:valAx>
      <c:valAx>
        <c:axId val="103775616"/>
        <c:scaling>
          <c:orientation val="minMax"/>
        </c:scaling>
        <c:delete val="0"/>
        <c:axPos val="l"/>
        <c:majorGridlines/>
        <c:title>
          <c:tx>
            <c:rich>
              <a:bodyPr rot="-5400000" vert="horz"/>
              <a:lstStyle/>
              <a:p>
                <a:pPr>
                  <a:defRPr/>
                </a:pPr>
                <a:r>
                  <a:rPr lang="cs-CZ"/>
                  <a:t>Počet vyrobených</a:t>
                </a:r>
                <a:r>
                  <a:rPr lang="cs-CZ" baseline="0"/>
                  <a:t> TV denně</a:t>
                </a:r>
                <a:endParaRPr lang="cs-CZ"/>
              </a:p>
            </c:rich>
          </c:tx>
          <c:overlay val="0"/>
        </c:title>
        <c:numFmt formatCode="General" sourceLinked="1"/>
        <c:majorTickMark val="out"/>
        <c:minorTickMark val="none"/>
        <c:tickLblPos val="nextTo"/>
        <c:crossAx val="103773696"/>
        <c:crosses val="autoZero"/>
        <c:crossBetween val="midCat"/>
      </c:valAx>
    </c:plotArea>
    <c:legend>
      <c:legendPos val="b"/>
      <c:overlay val="0"/>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barChart>
        <c:barDir val="col"/>
        <c:grouping val="clustered"/>
        <c:varyColors val="0"/>
        <c:ser>
          <c:idx val="0"/>
          <c:order val="0"/>
          <c:tx>
            <c:strRef>
              <c:f>ZaIteraci!$Q$9</c:f>
              <c:strCache>
                <c:ptCount val="1"/>
                <c:pt idx="0">
                  <c:v>Vytížení zdrojů</c:v>
                </c:pt>
              </c:strCache>
            </c:strRef>
          </c:tx>
          <c:invertIfNegative val="0"/>
          <c:cat>
            <c:strRef>
              <c:f>ZaIteraci!$P$10:$P$18</c:f>
              <c:strCache>
                <c:ptCount val="9"/>
                <c:pt idx="0">
                  <c:v>MM10</c:v>
                </c:pt>
                <c:pt idx="1">
                  <c:v>MM20</c:v>
                </c:pt>
                <c:pt idx="2">
                  <c:v>MM30</c:v>
                </c:pt>
                <c:pt idx="3">
                  <c:v>MM40</c:v>
                </c:pt>
                <c:pt idx="4">
                  <c:v>TEST</c:v>
                </c:pt>
                <c:pt idx="5">
                  <c:v>MM50</c:v>
                </c:pt>
                <c:pt idx="6">
                  <c:v>MM60</c:v>
                </c:pt>
                <c:pt idx="7">
                  <c:v>Mechanik</c:v>
                </c:pt>
                <c:pt idx="8">
                  <c:v>Paleta</c:v>
                </c:pt>
              </c:strCache>
            </c:strRef>
          </c:cat>
          <c:val>
            <c:numRef>
              <c:f>ZaIteraci!$Q$10:$Q$18</c:f>
              <c:numCache>
                <c:formatCode>General</c:formatCode>
                <c:ptCount val="9"/>
                <c:pt idx="0">
                  <c:v>0.99970000000000003</c:v>
                </c:pt>
                <c:pt idx="1">
                  <c:v>1</c:v>
                </c:pt>
                <c:pt idx="2">
                  <c:v>0.91839999999999999</c:v>
                </c:pt>
                <c:pt idx="3">
                  <c:v>0.19350000000000001</c:v>
                </c:pt>
                <c:pt idx="4">
                  <c:v>0.87370000000000003</c:v>
                </c:pt>
                <c:pt idx="5">
                  <c:v>0.91879999999999995</c:v>
                </c:pt>
                <c:pt idx="6">
                  <c:v>0.64280000000000004</c:v>
                </c:pt>
                <c:pt idx="7">
                  <c:v>0.30630000000000002</c:v>
                </c:pt>
                <c:pt idx="8">
                  <c:v>0.59460000000000002</c:v>
                </c:pt>
              </c:numCache>
            </c:numRef>
          </c:val>
        </c:ser>
        <c:dLbls>
          <c:showLegendKey val="0"/>
          <c:showVal val="0"/>
          <c:showCatName val="0"/>
          <c:showSerName val="0"/>
          <c:showPercent val="0"/>
          <c:showBubbleSize val="0"/>
        </c:dLbls>
        <c:gapWidth val="150"/>
        <c:axId val="103841792"/>
        <c:axId val="103843328"/>
      </c:barChart>
      <c:catAx>
        <c:axId val="103841792"/>
        <c:scaling>
          <c:orientation val="minMax"/>
        </c:scaling>
        <c:delete val="0"/>
        <c:axPos val="b"/>
        <c:majorTickMark val="out"/>
        <c:minorTickMark val="none"/>
        <c:tickLblPos val="nextTo"/>
        <c:crossAx val="103843328"/>
        <c:crosses val="autoZero"/>
        <c:auto val="1"/>
        <c:lblAlgn val="ctr"/>
        <c:lblOffset val="100"/>
        <c:noMultiLvlLbl val="0"/>
      </c:catAx>
      <c:valAx>
        <c:axId val="103843328"/>
        <c:scaling>
          <c:orientation val="minMax"/>
          <c:max val="1"/>
          <c:min val="0"/>
        </c:scaling>
        <c:delete val="0"/>
        <c:axPos val="l"/>
        <c:majorGridlines/>
        <c:numFmt formatCode="0%" sourceLinked="0"/>
        <c:majorTickMark val="out"/>
        <c:minorTickMark val="none"/>
        <c:tickLblPos val="nextTo"/>
        <c:crossAx val="103841792"/>
        <c:crosses val="autoZero"/>
        <c:crossBetween val="between"/>
        <c:majorUnit val="0.2"/>
      </c:valAx>
    </c:plotArea>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barChart>
        <c:barDir val="col"/>
        <c:grouping val="clustered"/>
        <c:varyColors val="0"/>
        <c:ser>
          <c:idx val="0"/>
          <c:order val="0"/>
          <c:tx>
            <c:strRef>
              <c:f>ZaDen!$Q$3</c:f>
              <c:strCache>
                <c:ptCount val="1"/>
                <c:pt idx="0">
                  <c:v>Denní produkce po 50 iteracích</c:v>
                </c:pt>
              </c:strCache>
            </c:strRef>
          </c:tx>
          <c:invertIfNegative val="0"/>
          <c:cat>
            <c:strRef>
              <c:f>ZaDen!$P$4:$P$8</c:f>
              <c:strCache>
                <c:ptCount val="5"/>
                <c:pt idx="0">
                  <c:v>&lt;400</c:v>
                </c:pt>
                <c:pt idx="1">
                  <c:v>440</c:v>
                </c:pt>
                <c:pt idx="2">
                  <c:v>480</c:v>
                </c:pt>
                <c:pt idx="3">
                  <c:v>520</c:v>
                </c:pt>
                <c:pt idx="4">
                  <c:v>&gt;520</c:v>
                </c:pt>
              </c:strCache>
            </c:strRef>
          </c:cat>
          <c:val>
            <c:numRef>
              <c:f>ZaDen!$Q$4:$Q$8</c:f>
              <c:numCache>
                <c:formatCode>General</c:formatCode>
                <c:ptCount val="5"/>
                <c:pt idx="0">
                  <c:v>178</c:v>
                </c:pt>
                <c:pt idx="1">
                  <c:v>348</c:v>
                </c:pt>
                <c:pt idx="2">
                  <c:v>521</c:v>
                </c:pt>
                <c:pt idx="3">
                  <c:v>697</c:v>
                </c:pt>
                <c:pt idx="4">
                  <c:v>756</c:v>
                </c:pt>
              </c:numCache>
            </c:numRef>
          </c:val>
        </c:ser>
        <c:dLbls>
          <c:showLegendKey val="0"/>
          <c:showVal val="0"/>
          <c:showCatName val="0"/>
          <c:showSerName val="0"/>
          <c:showPercent val="0"/>
          <c:showBubbleSize val="0"/>
        </c:dLbls>
        <c:gapWidth val="150"/>
        <c:axId val="104215680"/>
        <c:axId val="104217600"/>
      </c:barChart>
      <c:catAx>
        <c:axId val="104215680"/>
        <c:scaling>
          <c:orientation val="minMax"/>
        </c:scaling>
        <c:delete val="0"/>
        <c:axPos val="b"/>
        <c:title>
          <c:tx>
            <c:rich>
              <a:bodyPr/>
              <a:lstStyle/>
              <a:p>
                <a:pPr>
                  <a:defRPr/>
                </a:pPr>
                <a:r>
                  <a:rPr lang="cs-CZ"/>
                  <a:t>Počet TV za den</a:t>
                </a:r>
              </a:p>
            </c:rich>
          </c:tx>
          <c:overlay val="0"/>
        </c:title>
        <c:majorTickMark val="out"/>
        <c:minorTickMark val="none"/>
        <c:tickLblPos val="nextTo"/>
        <c:crossAx val="104217600"/>
        <c:crosses val="autoZero"/>
        <c:auto val="1"/>
        <c:lblAlgn val="ctr"/>
        <c:lblOffset val="100"/>
        <c:noMultiLvlLbl val="0"/>
      </c:catAx>
      <c:valAx>
        <c:axId val="104217600"/>
        <c:scaling>
          <c:orientation val="minMax"/>
        </c:scaling>
        <c:delete val="0"/>
        <c:axPos val="l"/>
        <c:majorGridlines/>
        <c:title>
          <c:tx>
            <c:rich>
              <a:bodyPr rot="-5400000" vert="horz"/>
              <a:lstStyle/>
              <a:p>
                <a:pPr>
                  <a:defRPr/>
                </a:pPr>
                <a:r>
                  <a:rPr lang="cs-CZ"/>
                  <a:t>Počet dní</a:t>
                </a:r>
              </a:p>
            </c:rich>
          </c:tx>
          <c:overlay val="0"/>
        </c:title>
        <c:numFmt formatCode="General" sourceLinked="1"/>
        <c:majorTickMark val="out"/>
        <c:minorTickMark val="none"/>
        <c:tickLblPos val="nextTo"/>
        <c:crossAx val="104215680"/>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barChart>
        <c:barDir val="col"/>
        <c:grouping val="clustered"/>
        <c:varyColors val="0"/>
        <c:ser>
          <c:idx val="0"/>
          <c:order val="0"/>
          <c:tx>
            <c:strRef>
              <c:f>[final_original.xlsx]ZaIteraci!$Q$9</c:f>
              <c:strCache>
                <c:ptCount val="1"/>
                <c:pt idx="0">
                  <c:v>Vytížení zdrojů</c:v>
                </c:pt>
              </c:strCache>
            </c:strRef>
          </c:tx>
          <c:invertIfNegative val="0"/>
          <c:cat>
            <c:strRef>
              <c:f>[final_original.xlsx]ZaIteraci!$P$10:$P$18</c:f>
              <c:strCache>
                <c:ptCount val="9"/>
                <c:pt idx="0">
                  <c:v>MM10</c:v>
                </c:pt>
                <c:pt idx="1">
                  <c:v>MM20</c:v>
                </c:pt>
                <c:pt idx="2">
                  <c:v>MM30</c:v>
                </c:pt>
                <c:pt idx="3">
                  <c:v>MM40</c:v>
                </c:pt>
                <c:pt idx="4">
                  <c:v>TEST</c:v>
                </c:pt>
                <c:pt idx="5">
                  <c:v>MM50</c:v>
                </c:pt>
                <c:pt idx="6">
                  <c:v>MM60</c:v>
                </c:pt>
                <c:pt idx="7">
                  <c:v>Mechanik</c:v>
                </c:pt>
                <c:pt idx="8">
                  <c:v>Paleta</c:v>
                </c:pt>
              </c:strCache>
            </c:strRef>
          </c:cat>
          <c:val>
            <c:numRef>
              <c:f>[final_original.xlsx]ZaIteraci!$Q$10:$Q$18</c:f>
              <c:numCache>
                <c:formatCode>General</c:formatCode>
                <c:ptCount val="9"/>
                <c:pt idx="0">
                  <c:v>0.76</c:v>
                </c:pt>
                <c:pt idx="1">
                  <c:v>0.93489999999999995</c:v>
                </c:pt>
                <c:pt idx="2">
                  <c:v>0.78110000000000002</c:v>
                </c:pt>
                <c:pt idx="3">
                  <c:v>0.23899999999999999</c:v>
                </c:pt>
                <c:pt idx="4">
                  <c:v>0.95630000000000004</c:v>
                </c:pt>
                <c:pt idx="5">
                  <c:v>0.89280000000000004</c:v>
                </c:pt>
                <c:pt idx="6">
                  <c:v>0.4879</c:v>
                </c:pt>
                <c:pt idx="7">
                  <c:v>0.59319999999999995</c:v>
                </c:pt>
                <c:pt idx="8">
                  <c:v>0.93259999999999998</c:v>
                </c:pt>
              </c:numCache>
            </c:numRef>
          </c:val>
        </c:ser>
        <c:dLbls>
          <c:showLegendKey val="0"/>
          <c:showVal val="0"/>
          <c:showCatName val="0"/>
          <c:showSerName val="0"/>
          <c:showPercent val="0"/>
          <c:showBubbleSize val="0"/>
        </c:dLbls>
        <c:gapWidth val="150"/>
        <c:axId val="92067712"/>
        <c:axId val="92069248"/>
      </c:barChart>
      <c:catAx>
        <c:axId val="92067712"/>
        <c:scaling>
          <c:orientation val="minMax"/>
        </c:scaling>
        <c:delete val="0"/>
        <c:axPos val="b"/>
        <c:majorTickMark val="out"/>
        <c:minorTickMark val="none"/>
        <c:tickLblPos val="nextTo"/>
        <c:crossAx val="92069248"/>
        <c:crosses val="autoZero"/>
        <c:auto val="1"/>
        <c:lblAlgn val="ctr"/>
        <c:lblOffset val="100"/>
        <c:noMultiLvlLbl val="0"/>
      </c:catAx>
      <c:valAx>
        <c:axId val="92069248"/>
        <c:scaling>
          <c:orientation val="minMax"/>
          <c:max val="1"/>
          <c:min val="0"/>
        </c:scaling>
        <c:delete val="0"/>
        <c:axPos val="l"/>
        <c:majorGridlines/>
        <c:numFmt formatCode="0%" sourceLinked="0"/>
        <c:majorTickMark val="out"/>
        <c:minorTickMark val="none"/>
        <c:tickLblPos val="nextTo"/>
        <c:crossAx val="92067712"/>
        <c:crosses val="autoZero"/>
        <c:crossBetween val="between"/>
        <c:majorUnit val="0.2"/>
      </c:valAx>
    </c:plotArea>
    <c:legend>
      <c:legendPos val="b"/>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barChart>
        <c:barDir val="col"/>
        <c:grouping val="clustered"/>
        <c:varyColors val="0"/>
        <c:ser>
          <c:idx val="0"/>
          <c:order val="0"/>
          <c:tx>
            <c:strRef>
              <c:f>ZaDen!$Q$3</c:f>
              <c:strCache>
                <c:ptCount val="1"/>
                <c:pt idx="0">
                  <c:v>Denní produkce po 50 iteracích</c:v>
                </c:pt>
              </c:strCache>
            </c:strRef>
          </c:tx>
          <c:invertIfNegative val="0"/>
          <c:cat>
            <c:strRef>
              <c:f>ZaDen!$P$4:$P$8</c:f>
              <c:strCache>
                <c:ptCount val="5"/>
                <c:pt idx="0">
                  <c:v>&lt;320</c:v>
                </c:pt>
                <c:pt idx="1">
                  <c:v>360</c:v>
                </c:pt>
                <c:pt idx="2">
                  <c:v>400</c:v>
                </c:pt>
                <c:pt idx="3">
                  <c:v>440</c:v>
                </c:pt>
                <c:pt idx="4">
                  <c:v>&gt;440</c:v>
                </c:pt>
              </c:strCache>
            </c:strRef>
          </c:cat>
          <c:val>
            <c:numRef>
              <c:f>ZaDen!$Q$4:$Q$8</c:f>
              <c:numCache>
                <c:formatCode>General</c:formatCode>
                <c:ptCount val="5"/>
                <c:pt idx="0">
                  <c:v>372</c:v>
                </c:pt>
                <c:pt idx="1">
                  <c:v>652</c:v>
                </c:pt>
                <c:pt idx="2">
                  <c:v>795</c:v>
                </c:pt>
                <c:pt idx="3">
                  <c:v>518</c:v>
                </c:pt>
                <c:pt idx="4">
                  <c:v>163</c:v>
                </c:pt>
              </c:numCache>
            </c:numRef>
          </c:val>
        </c:ser>
        <c:dLbls>
          <c:showLegendKey val="0"/>
          <c:showVal val="0"/>
          <c:showCatName val="0"/>
          <c:showSerName val="0"/>
          <c:showPercent val="0"/>
          <c:showBubbleSize val="0"/>
        </c:dLbls>
        <c:gapWidth val="150"/>
        <c:axId val="92077440"/>
        <c:axId val="92583424"/>
      </c:barChart>
      <c:catAx>
        <c:axId val="92077440"/>
        <c:scaling>
          <c:orientation val="minMax"/>
        </c:scaling>
        <c:delete val="0"/>
        <c:axPos val="b"/>
        <c:title>
          <c:tx>
            <c:rich>
              <a:bodyPr/>
              <a:lstStyle/>
              <a:p>
                <a:pPr>
                  <a:defRPr/>
                </a:pPr>
                <a:r>
                  <a:rPr lang="cs-CZ"/>
                  <a:t>Počet TV za den</a:t>
                </a:r>
              </a:p>
            </c:rich>
          </c:tx>
          <c:overlay val="0"/>
        </c:title>
        <c:majorTickMark val="out"/>
        <c:minorTickMark val="none"/>
        <c:tickLblPos val="nextTo"/>
        <c:crossAx val="92583424"/>
        <c:crosses val="autoZero"/>
        <c:auto val="1"/>
        <c:lblAlgn val="ctr"/>
        <c:lblOffset val="100"/>
        <c:noMultiLvlLbl val="0"/>
      </c:catAx>
      <c:valAx>
        <c:axId val="92583424"/>
        <c:scaling>
          <c:orientation val="minMax"/>
        </c:scaling>
        <c:delete val="0"/>
        <c:axPos val="l"/>
        <c:majorGridlines/>
        <c:title>
          <c:tx>
            <c:rich>
              <a:bodyPr rot="-5400000" vert="horz"/>
              <a:lstStyle/>
              <a:p>
                <a:pPr>
                  <a:defRPr/>
                </a:pPr>
                <a:r>
                  <a:rPr lang="cs-CZ"/>
                  <a:t>Počet dní</a:t>
                </a:r>
              </a:p>
            </c:rich>
          </c:tx>
          <c:overlay val="0"/>
        </c:title>
        <c:numFmt formatCode="General" sourceLinked="1"/>
        <c:majorTickMark val="out"/>
        <c:minorTickMark val="none"/>
        <c:tickLblPos val="nextTo"/>
        <c:crossAx val="92077440"/>
        <c:crosses val="autoZero"/>
        <c:crossBetween val="between"/>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cs-CZ"/>
              <a:t>Ustalování</a:t>
            </a:r>
            <a:r>
              <a:rPr lang="cs-CZ" baseline="0"/>
              <a:t> denní produkce TV</a:t>
            </a:r>
          </a:p>
        </c:rich>
      </c:tx>
      <c:overlay val="0"/>
    </c:title>
    <c:autoTitleDeleted val="0"/>
    <c:plotArea>
      <c:layout/>
      <c:scatterChart>
        <c:scatterStyle val="smoothMarker"/>
        <c:varyColors val="0"/>
        <c:ser>
          <c:idx val="1"/>
          <c:order val="0"/>
          <c:tx>
            <c:strRef>
              <c:f>ZaIteraci!$C$1</c:f>
              <c:strCache>
                <c:ptCount val="1"/>
                <c:pt idx="0">
                  <c:v>Kumulativní průměr za iteraci</c:v>
                </c:pt>
              </c:strCache>
            </c:strRef>
          </c:tx>
          <c:marker>
            <c:symbol val="none"/>
          </c:marker>
          <c:yVal>
            <c:numRef>
              <c:f>ZaIteraci!$C$2:$C$82</c:f>
              <c:numCache>
                <c:formatCode>General</c:formatCode>
                <c:ptCount val="81"/>
                <c:pt idx="0">
                  <c:v>487.62</c:v>
                </c:pt>
                <c:pt idx="1">
                  <c:v>482.18</c:v>
                </c:pt>
                <c:pt idx="2">
                  <c:v>490.72666666666669</c:v>
                </c:pt>
                <c:pt idx="3">
                  <c:v>489.58000000000004</c:v>
                </c:pt>
                <c:pt idx="4">
                  <c:v>488.70400000000001</c:v>
                </c:pt>
                <c:pt idx="5">
                  <c:v>490.39333333333337</c:v>
                </c:pt>
                <c:pt idx="6">
                  <c:v>489.61714285714288</c:v>
                </c:pt>
                <c:pt idx="7">
                  <c:v>489.86500000000001</c:v>
                </c:pt>
                <c:pt idx="8">
                  <c:v>491.23111111111109</c:v>
                </c:pt>
                <c:pt idx="9">
                  <c:v>490.43999999999994</c:v>
                </c:pt>
                <c:pt idx="10">
                  <c:v>490.36909090909086</c:v>
                </c:pt>
                <c:pt idx="11">
                  <c:v>490.66333333333324</c:v>
                </c:pt>
                <c:pt idx="12">
                  <c:v>491.41846153846143</c:v>
                </c:pt>
                <c:pt idx="13">
                  <c:v>491.09142857142848</c:v>
                </c:pt>
                <c:pt idx="14">
                  <c:v>491.24133333333327</c:v>
                </c:pt>
                <c:pt idx="15">
                  <c:v>490.80624999999992</c:v>
                </c:pt>
                <c:pt idx="16">
                  <c:v>491.29529411764696</c:v>
                </c:pt>
                <c:pt idx="17">
                  <c:v>491.29222222222211</c:v>
                </c:pt>
                <c:pt idx="18">
                  <c:v>491.09578947368408</c:v>
                </c:pt>
                <c:pt idx="19">
                  <c:v>491.23299999999989</c:v>
                </c:pt>
                <c:pt idx="20">
                  <c:v>490.86666666666662</c:v>
                </c:pt>
                <c:pt idx="21">
                  <c:v>491.18454545454546</c:v>
                </c:pt>
                <c:pt idx="22">
                  <c:v>492.24956521739131</c:v>
                </c:pt>
                <c:pt idx="23">
                  <c:v>492.20083333333332</c:v>
                </c:pt>
                <c:pt idx="24">
                  <c:v>492.15039999999999</c:v>
                </c:pt>
                <c:pt idx="25">
                  <c:v>492.28384615384618</c:v>
                </c:pt>
                <c:pt idx="26">
                  <c:v>492.61629629629635</c:v>
                </c:pt>
                <c:pt idx="27">
                  <c:v>492.16285714285721</c:v>
                </c:pt>
                <c:pt idx="28">
                  <c:v>492.30758620689664</c:v>
                </c:pt>
                <c:pt idx="29">
                  <c:v>492.33866666666671</c:v>
                </c:pt>
                <c:pt idx="30">
                  <c:v>492.04838709677426</c:v>
                </c:pt>
                <c:pt idx="31">
                  <c:v>491.75500000000005</c:v>
                </c:pt>
                <c:pt idx="32">
                  <c:v>491.36787878787885</c:v>
                </c:pt>
                <c:pt idx="33">
                  <c:v>491.13411764705887</c:v>
                </c:pt>
                <c:pt idx="34">
                  <c:v>491.35885714285718</c:v>
                </c:pt>
                <c:pt idx="35">
                  <c:v>491.58777777777777</c:v>
                </c:pt>
                <c:pt idx="36">
                  <c:v>492.14864864864865</c:v>
                </c:pt>
                <c:pt idx="37">
                  <c:v>492.03894736842102</c:v>
                </c:pt>
                <c:pt idx="38">
                  <c:v>492.15230769230766</c:v>
                </c:pt>
                <c:pt idx="39">
                  <c:v>492.25400000000002</c:v>
                </c:pt>
                <c:pt idx="40">
                  <c:v>492.24829268292683</c:v>
                </c:pt>
                <c:pt idx="41">
                  <c:v>492.09142857142859</c:v>
                </c:pt>
                <c:pt idx="42">
                  <c:v>492.46883720930231</c:v>
                </c:pt>
                <c:pt idx="43">
                  <c:v>492.69181818181818</c:v>
                </c:pt>
                <c:pt idx="44">
                  <c:v>492.68222222222215</c:v>
                </c:pt>
                <c:pt idx="45">
                  <c:v>492.60217391304343</c:v>
                </c:pt>
                <c:pt idx="46">
                  <c:v>492.6408510638297</c:v>
                </c:pt>
                <c:pt idx="47">
                  <c:v>492.60458333333327</c:v>
                </c:pt>
                <c:pt idx="48">
                  <c:v>492.92163265306112</c:v>
                </c:pt>
                <c:pt idx="49">
                  <c:v>492.63519999999988</c:v>
                </c:pt>
              </c:numCache>
            </c:numRef>
          </c:yVal>
          <c:smooth val="1"/>
        </c:ser>
        <c:ser>
          <c:idx val="2"/>
          <c:order val="1"/>
          <c:tx>
            <c:strRef>
              <c:f>ZaIteraci!$G$1</c:f>
              <c:strCache>
                <c:ptCount val="1"/>
                <c:pt idx="0">
                  <c:v>Horní mez spolehlivosti</c:v>
                </c:pt>
              </c:strCache>
            </c:strRef>
          </c:tx>
          <c:marker>
            <c:symbol val="none"/>
          </c:marker>
          <c:yVal>
            <c:numRef>
              <c:f>ZaIteraci!$G$2:$G$82</c:f>
              <c:numCache>
                <c:formatCode>General</c:formatCode>
                <c:ptCount val="81"/>
                <c:pt idx="0">
                  <c:v>505.0234261800141</c:v>
                </c:pt>
                <c:pt idx="1">
                  <c:v>494.48608066776745</c:v>
                </c:pt>
                <c:pt idx="2">
                  <c:v>500.77453945651962</c:v>
                </c:pt>
                <c:pt idx="3">
                  <c:v>498.28171309000709</c:v>
                </c:pt>
                <c:pt idx="4">
                  <c:v>496.48704879598222</c:v>
                </c:pt>
                <c:pt idx="5">
                  <c:v>497.49825231953815</c:v>
                </c:pt>
                <c:pt idx="6">
                  <c:v>496.1950196618269</c:v>
                </c:pt>
                <c:pt idx="7">
                  <c:v>496.01804033388373</c:v>
                </c:pt>
                <c:pt idx="8">
                  <c:v>497.03225317111577</c:v>
                </c:pt>
                <c:pt idx="9">
                  <c:v>495.94344658194473</c:v>
                </c:pt>
                <c:pt idx="10">
                  <c:v>495.61642133688673</c:v>
                </c:pt>
                <c:pt idx="11">
                  <c:v>495.68726972825971</c:v>
                </c:pt>
                <c:pt idx="12">
                  <c:v>496.24530349698398</c:v>
                </c:pt>
                <c:pt idx="13">
                  <c:v>495.74268986583024</c:v>
                </c:pt>
                <c:pt idx="14">
                  <c:v>495.73487865080961</c:v>
                </c:pt>
                <c:pt idx="15">
                  <c:v>495.15710654500344</c:v>
                </c:pt>
                <c:pt idx="16">
                  <c:v>495.51624496399035</c:v>
                </c:pt>
                <c:pt idx="17">
                  <c:v>495.3942491114779</c:v>
                </c:pt>
                <c:pt idx="18">
                  <c:v>495.08840926263417</c:v>
                </c:pt>
                <c:pt idx="19">
                  <c:v>495.12452439799097</c:v>
                </c:pt>
                <c:pt idx="20">
                  <c:v>494.66440561054713</c:v>
                </c:pt>
                <c:pt idx="21">
                  <c:v>494.89496838316643</c:v>
                </c:pt>
                <c:pt idx="22">
                  <c:v>495.87843042990249</c:v>
                </c:pt>
                <c:pt idx="23">
                  <c:v>495.75329282643571</c:v>
                </c:pt>
                <c:pt idx="24">
                  <c:v>495.63108523600283</c:v>
                </c:pt>
                <c:pt idx="25">
                  <c:v>495.69693883443324</c:v>
                </c:pt>
                <c:pt idx="26">
                  <c:v>495.96558722624735</c:v>
                </c:pt>
                <c:pt idx="27">
                  <c:v>495.45179554519922</c:v>
                </c:pt>
                <c:pt idx="28">
                  <c:v>495.53932131683371</c:v>
                </c:pt>
                <c:pt idx="29">
                  <c:v>495.51608303222326</c:v>
                </c:pt>
                <c:pt idx="30">
                  <c:v>495.17413471213638</c:v>
                </c:pt>
                <c:pt idx="31">
                  <c:v>494.83152016694191</c:v>
                </c:pt>
                <c:pt idx="32">
                  <c:v>494.39742642289372</c:v>
                </c:pt>
                <c:pt idx="33">
                  <c:v>494.11878061356339</c:v>
                </c:pt>
                <c:pt idx="34">
                  <c:v>494.30057307943571</c:v>
                </c:pt>
                <c:pt idx="35">
                  <c:v>494.48834880778014</c:v>
                </c:pt>
                <c:pt idx="36">
                  <c:v>495.0097542882865</c:v>
                </c:pt>
                <c:pt idx="37">
                  <c:v>494.86215589588721</c:v>
                </c:pt>
                <c:pt idx="38">
                  <c:v>494.93908619639643</c:v>
                </c:pt>
                <c:pt idx="39">
                  <c:v>495.00572329097241</c:v>
                </c:pt>
                <c:pt idx="40">
                  <c:v>494.96625121921028</c:v>
                </c:pt>
                <c:pt idx="41">
                  <c:v>494.77683553182271</c:v>
                </c:pt>
                <c:pt idx="42">
                  <c:v>495.1228348206435</c:v>
                </c:pt>
                <c:pt idx="43">
                  <c:v>495.31548339571611</c:v>
                </c:pt>
                <c:pt idx="44">
                  <c:v>495.27657182088291</c:v>
                </c:pt>
                <c:pt idx="45">
                  <c:v>495.16816911282206</c:v>
                </c:pt>
                <c:pt idx="46">
                  <c:v>495.1794016756117</c:v>
                </c:pt>
                <c:pt idx="47">
                  <c:v>495.11655153079647</c:v>
                </c:pt>
                <c:pt idx="48">
                  <c:v>495.40783639306312</c:v>
                </c:pt>
                <c:pt idx="49">
                  <c:v>495.09641613355336</c:v>
                </c:pt>
              </c:numCache>
            </c:numRef>
          </c:yVal>
          <c:smooth val="1"/>
        </c:ser>
        <c:ser>
          <c:idx val="3"/>
          <c:order val="2"/>
          <c:tx>
            <c:strRef>
              <c:f>ZaIteraci!$H$1</c:f>
              <c:strCache>
                <c:ptCount val="1"/>
                <c:pt idx="0">
                  <c:v>Dolní mez spolehlivosti</c:v>
                </c:pt>
              </c:strCache>
            </c:strRef>
          </c:tx>
          <c:marker>
            <c:symbol val="none"/>
          </c:marker>
          <c:yVal>
            <c:numRef>
              <c:f>ZaIteraci!$H$2:$H$82</c:f>
              <c:numCache>
                <c:formatCode>General</c:formatCode>
                <c:ptCount val="81"/>
                <c:pt idx="0">
                  <c:v>470.21657381998591</c:v>
                </c:pt>
                <c:pt idx="1">
                  <c:v>469.87391933223256</c:v>
                </c:pt>
                <c:pt idx="2">
                  <c:v>480.67879387681376</c:v>
                </c:pt>
                <c:pt idx="3">
                  <c:v>480.87828690999299</c:v>
                </c:pt>
                <c:pt idx="4">
                  <c:v>480.9209512040178</c:v>
                </c:pt>
                <c:pt idx="5">
                  <c:v>483.28841434712859</c:v>
                </c:pt>
                <c:pt idx="6">
                  <c:v>483.03926605245886</c:v>
                </c:pt>
                <c:pt idx="7">
                  <c:v>483.71195966611629</c:v>
                </c:pt>
                <c:pt idx="8">
                  <c:v>485.42996905110641</c:v>
                </c:pt>
                <c:pt idx="9">
                  <c:v>484.93655341805515</c:v>
                </c:pt>
                <c:pt idx="10">
                  <c:v>485.12176048129498</c:v>
                </c:pt>
                <c:pt idx="11">
                  <c:v>485.63939693840678</c:v>
                </c:pt>
                <c:pt idx="12">
                  <c:v>486.59161957993888</c:v>
                </c:pt>
                <c:pt idx="13">
                  <c:v>486.44016727702672</c:v>
                </c:pt>
                <c:pt idx="14">
                  <c:v>486.74778801585694</c:v>
                </c:pt>
                <c:pt idx="15">
                  <c:v>486.4553934549964</c:v>
                </c:pt>
                <c:pt idx="16">
                  <c:v>487.07434327130358</c:v>
                </c:pt>
                <c:pt idx="17">
                  <c:v>487.19019533296631</c:v>
                </c:pt>
                <c:pt idx="18">
                  <c:v>487.10316968473398</c:v>
                </c:pt>
                <c:pt idx="19">
                  <c:v>487.34147560200881</c:v>
                </c:pt>
                <c:pt idx="20">
                  <c:v>487.0689277227861</c:v>
                </c:pt>
                <c:pt idx="21">
                  <c:v>487.47412252592449</c:v>
                </c:pt>
                <c:pt idx="22">
                  <c:v>488.62070000488012</c:v>
                </c:pt>
                <c:pt idx="23">
                  <c:v>488.64837384023093</c:v>
                </c:pt>
                <c:pt idx="24">
                  <c:v>488.66971476399715</c:v>
                </c:pt>
                <c:pt idx="25">
                  <c:v>488.87075347325913</c:v>
                </c:pt>
                <c:pt idx="26">
                  <c:v>489.26700536634536</c:v>
                </c:pt>
                <c:pt idx="27">
                  <c:v>488.87391874051519</c:v>
                </c:pt>
                <c:pt idx="28">
                  <c:v>489.07585109695958</c:v>
                </c:pt>
                <c:pt idx="29">
                  <c:v>489.16125030111016</c:v>
                </c:pt>
                <c:pt idx="30">
                  <c:v>488.92263948141215</c:v>
                </c:pt>
                <c:pt idx="31">
                  <c:v>488.67847983305819</c:v>
                </c:pt>
                <c:pt idx="32">
                  <c:v>488.33833115286399</c:v>
                </c:pt>
                <c:pt idx="33">
                  <c:v>488.14945468055436</c:v>
                </c:pt>
                <c:pt idx="34">
                  <c:v>488.41714120627864</c:v>
                </c:pt>
                <c:pt idx="35">
                  <c:v>488.68720674777541</c:v>
                </c:pt>
                <c:pt idx="36">
                  <c:v>489.28754300901079</c:v>
                </c:pt>
                <c:pt idx="37">
                  <c:v>489.21573884095483</c:v>
                </c:pt>
                <c:pt idx="38">
                  <c:v>489.36552918821889</c:v>
                </c:pt>
                <c:pt idx="39">
                  <c:v>489.50227670902763</c:v>
                </c:pt>
                <c:pt idx="40">
                  <c:v>489.53033414664338</c:v>
                </c:pt>
                <c:pt idx="41">
                  <c:v>489.40602161103448</c:v>
                </c:pt>
                <c:pt idx="42">
                  <c:v>489.81483959796111</c:v>
                </c:pt>
                <c:pt idx="43">
                  <c:v>490.06815296792024</c:v>
                </c:pt>
                <c:pt idx="44">
                  <c:v>490.0878726235614</c:v>
                </c:pt>
                <c:pt idx="45">
                  <c:v>490.0361787132648</c:v>
                </c:pt>
                <c:pt idx="46">
                  <c:v>490.1023004520477</c:v>
                </c:pt>
                <c:pt idx="47">
                  <c:v>490.09261513587006</c:v>
                </c:pt>
                <c:pt idx="48">
                  <c:v>490.43542891305913</c:v>
                </c:pt>
                <c:pt idx="49">
                  <c:v>490.17398386644641</c:v>
                </c:pt>
              </c:numCache>
            </c:numRef>
          </c:yVal>
          <c:smooth val="1"/>
        </c:ser>
        <c:dLbls>
          <c:showLegendKey val="0"/>
          <c:showVal val="0"/>
          <c:showCatName val="0"/>
          <c:showSerName val="0"/>
          <c:showPercent val="0"/>
          <c:showBubbleSize val="0"/>
        </c:dLbls>
        <c:axId val="95142272"/>
        <c:axId val="95144192"/>
      </c:scatterChart>
      <c:valAx>
        <c:axId val="95142272"/>
        <c:scaling>
          <c:orientation val="minMax"/>
          <c:max val="50"/>
        </c:scaling>
        <c:delete val="0"/>
        <c:axPos val="b"/>
        <c:title>
          <c:tx>
            <c:rich>
              <a:bodyPr/>
              <a:lstStyle/>
              <a:p>
                <a:pPr>
                  <a:defRPr/>
                </a:pPr>
                <a:r>
                  <a:rPr lang="cs-CZ"/>
                  <a:t>Iterace</a:t>
                </a:r>
              </a:p>
            </c:rich>
          </c:tx>
          <c:overlay val="0"/>
        </c:title>
        <c:majorTickMark val="out"/>
        <c:minorTickMark val="none"/>
        <c:tickLblPos val="nextTo"/>
        <c:crossAx val="95144192"/>
        <c:crosses val="autoZero"/>
        <c:crossBetween val="midCat"/>
      </c:valAx>
      <c:valAx>
        <c:axId val="95144192"/>
        <c:scaling>
          <c:orientation val="minMax"/>
        </c:scaling>
        <c:delete val="0"/>
        <c:axPos val="l"/>
        <c:majorGridlines/>
        <c:title>
          <c:tx>
            <c:rich>
              <a:bodyPr rot="-5400000" vert="horz"/>
              <a:lstStyle/>
              <a:p>
                <a:pPr>
                  <a:defRPr/>
                </a:pPr>
                <a:r>
                  <a:rPr lang="cs-CZ"/>
                  <a:t>Počet vyrobených</a:t>
                </a:r>
                <a:r>
                  <a:rPr lang="cs-CZ" baseline="0"/>
                  <a:t> TV denně</a:t>
                </a:r>
                <a:endParaRPr lang="cs-CZ"/>
              </a:p>
            </c:rich>
          </c:tx>
          <c:overlay val="0"/>
        </c:title>
        <c:numFmt formatCode="General" sourceLinked="1"/>
        <c:majorTickMark val="out"/>
        <c:minorTickMark val="none"/>
        <c:tickLblPos val="nextTo"/>
        <c:crossAx val="95142272"/>
        <c:crosses val="autoZero"/>
        <c:crossBetween val="midCat"/>
      </c:valAx>
    </c:plotArea>
    <c:legend>
      <c:legendPos val="b"/>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barChart>
        <c:barDir val="col"/>
        <c:grouping val="clustered"/>
        <c:varyColors val="0"/>
        <c:ser>
          <c:idx val="0"/>
          <c:order val="0"/>
          <c:tx>
            <c:strRef>
              <c:f>ZaIteraci!$Q$9</c:f>
              <c:strCache>
                <c:ptCount val="1"/>
                <c:pt idx="0">
                  <c:v>Vytížení zdrojů</c:v>
                </c:pt>
              </c:strCache>
            </c:strRef>
          </c:tx>
          <c:invertIfNegative val="0"/>
          <c:cat>
            <c:strRef>
              <c:f>ZaIteraci!$P$10:$P$18</c:f>
              <c:strCache>
                <c:ptCount val="9"/>
                <c:pt idx="0">
                  <c:v>MM10</c:v>
                </c:pt>
                <c:pt idx="1">
                  <c:v>MM20</c:v>
                </c:pt>
                <c:pt idx="2">
                  <c:v>MM30</c:v>
                </c:pt>
                <c:pt idx="3">
                  <c:v>MM40</c:v>
                </c:pt>
                <c:pt idx="4">
                  <c:v>TEST</c:v>
                </c:pt>
                <c:pt idx="5">
                  <c:v>MM50</c:v>
                </c:pt>
                <c:pt idx="6">
                  <c:v>MM60</c:v>
                </c:pt>
                <c:pt idx="7">
                  <c:v>Mechanik</c:v>
                </c:pt>
                <c:pt idx="8">
                  <c:v>Paleta</c:v>
                </c:pt>
              </c:strCache>
            </c:strRef>
          </c:cat>
          <c:val>
            <c:numRef>
              <c:f>ZaIteraci!$Q$10:$Q$18</c:f>
              <c:numCache>
                <c:formatCode>General</c:formatCode>
                <c:ptCount val="9"/>
                <c:pt idx="0">
                  <c:v>0.99990000000000001</c:v>
                </c:pt>
                <c:pt idx="1">
                  <c:v>1</c:v>
                </c:pt>
                <c:pt idx="2">
                  <c:v>0.92230000000000001</c:v>
                </c:pt>
                <c:pt idx="3">
                  <c:v>0.20330000000000001</c:v>
                </c:pt>
                <c:pt idx="4">
                  <c:v>0.88260000000000005</c:v>
                </c:pt>
                <c:pt idx="5">
                  <c:v>0.92469999999999997</c:v>
                </c:pt>
                <c:pt idx="6">
                  <c:v>0.65010000000000001</c:v>
                </c:pt>
                <c:pt idx="7">
                  <c:v>0.30430000000000001</c:v>
                </c:pt>
                <c:pt idx="8">
                  <c:v>0.59499999999999997</c:v>
                </c:pt>
              </c:numCache>
            </c:numRef>
          </c:val>
        </c:ser>
        <c:dLbls>
          <c:showLegendKey val="0"/>
          <c:showVal val="0"/>
          <c:showCatName val="0"/>
          <c:showSerName val="0"/>
          <c:showPercent val="0"/>
          <c:showBubbleSize val="0"/>
        </c:dLbls>
        <c:gapWidth val="150"/>
        <c:axId val="102931072"/>
        <c:axId val="103125376"/>
      </c:barChart>
      <c:catAx>
        <c:axId val="102931072"/>
        <c:scaling>
          <c:orientation val="minMax"/>
        </c:scaling>
        <c:delete val="0"/>
        <c:axPos val="b"/>
        <c:majorTickMark val="out"/>
        <c:minorTickMark val="none"/>
        <c:tickLblPos val="nextTo"/>
        <c:crossAx val="103125376"/>
        <c:crosses val="autoZero"/>
        <c:auto val="1"/>
        <c:lblAlgn val="ctr"/>
        <c:lblOffset val="100"/>
        <c:noMultiLvlLbl val="0"/>
      </c:catAx>
      <c:valAx>
        <c:axId val="103125376"/>
        <c:scaling>
          <c:orientation val="minMax"/>
          <c:max val="1"/>
          <c:min val="0"/>
        </c:scaling>
        <c:delete val="0"/>
        <c:axPos val="l"/>
        <c:majorGridlines/>
        <c:numFmt formatCode="0%" sourceLinked="0"/>
        <c:majorTickMark val="out"/>
        <c:minorTickMark val="none"/>
        <c:tickLblPos val="nextTo"/>
        <c:crossAx val="102931072"/>
        <c:crosses val="autoZero"/>
        <c:crossBetween val="between"/>
        <c:majorUnit val="0.2"/>
      </c:valAx>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barChart>
        <c:barDir val="col"/>
        <c:grouping val="clustered"/>
        <c:varyColors val="0"/>
        <c:ser>
          <c:idx val="0"/>
          <c:order val="0"/>
          <c:tx>
            <c:strRef>
              <c:f>ZaDen!$Q$3</c:f>
              <c:strCache>
                <c:ptCount val="1"/>
                <c:pt idx="0">
                  <c:v>Denní produkce po 50 iteracích</c:v>
                </c:pt>
              </c:strCache>
            </c:strRef>
          </c:tx>
          <c:invertIfNegative val="0"/>
          <c:cat>
            <c:strRef>
              <c:f>ZaDen!$P$4:$P$8</c:f>
              <c:strCache>
                <c:ptCount val="5"/>
                <c:pt idx="0">
                  <c:v>&lt;400</c:v>
                </c:pt>
                <c:pt idx="1">
                  <c:v>440</c:v>
                </c:pt>
                <c:pt idx="2">
                  <c:v>480</c:v>
                </c:pt>
                <c:pt idx="3">
                  <c:v>520</c:v>
                </c:pt>
                <c:pt idx="4">
                  <c:v>&gt;520</c:v>
                </c:pt>
              </c:strCache>
            </c:strRef>
          </c:cat>
          <c:val>
            <c:numRef>
              <c:f>ZaDen!$Q$4:$Q$8</c:f>
              <c:numCache>
                <c:formatCode>General</c:formatCode>
                <c:ptCount val="5"/>
                <c:pt idx="0">
                  <c:v>156</c:v>
                </c:pt>
                <c:pt idx="1">
                  <c:v>268</c:v>
                </c:pt>
                <c:pt idx="2">
                  <c:v>525</c:v>
                </c:pt>
                <c:pt idx="3">
                  <c:v>711</c:v>
                </c:pt>
                <c:pt idx="4">
                  <c:v>840</c:v>
                </c:pt>
              </c:numCache>
            </c:numRef>
          </c:val>
        </c:ser>
        <c:dLbls>
          <c:showLegendKey val="0"/>
          <c:showVal val="0"/>
          <c:showCatName val="0"/>
          <c:showSerName val="0"/>
          <c:showPercent val="0"/>
          <c:showBubbleSize val="0"/>
        </c:dLbls>
        <c:gapWidth val="150"/>
        <c:axId val="103272448"/>
        <c:axId val="103274368"/>
      </c:barChart>
      <c:catAx>
        <c:axId val="103272448"/>
        <c:scaling>
          <c:orientation val="minMax"/>
        </c:scaling>
        <c:delete val="0"/>
        <c:axPos val="b"/>
        <c:title>
          <c:tx>
            <c:rich>
              <a:bodyPr/>
              <a:lstStyle/>
              <a:p>
                <a:pPr>
                  <a:defRPr/>
                </a:pPr>
                <a:r>
                  <a:rPr lang="cs-CZ"/>
                  <a:t>Počet TV za den</a:t>
                </a:r>
              </a:p>
            </c:rich>
          </c:tx>
          <c:overlay val="0"/>
        </c:title>
        <c:majorTickMark val="out"/>
        <c:minorTickMark val="none"/>
        <c:tickLblPos val="nextTo"/>
        <c:crossAx val="103274368"/>
        <c:crosses val="autoZero"/>
        <c:auto val="1"/>
        <c:lblAlgn val="ctr"/>
        <c:lblOffset val="100"/>
        <c:noMultiLvlLbl val="0"/>
      </c:catAx>
      <c:valAx>
        <c:axId val="103274368"/>
        <c:scaling>
          <c:orientation val="minMax"/>
        </c:scaling>
        <c:delete val="0"/>
        <c:axPos val="l"/>
        <c:majorGridlines/>
        <c:title>
          <c:tx>
            <c:rich>
              <a:bodyPr rot="-5400000" vert="horz"/>
              <a:lstStyle/>
              <a:p>
                <a:pPr>
                  <a:defRPr/>
                </a:pPr>
                <a:r>
                  <a:rPr lang="cs-CZ"/>
                  <a:t>Počet dní</a:t>
                </a:r>
              </a:p>
            </c:rich>
          </c:tx>
          <c:overlay val="0"/>
        </c:title>
        <c:numFmt formatCode="General" sourceLinked="1"/>
        <c:majorTickMark val="out"/>
        <c:minorTickMark val="none"/>
        <c:tickLblPos val="nextTo"/>
        <c:crossAx val="103272448"/>
        <c:crosses val="autoZero"/>
        <c:crossBetween val="between"/>
      </c:valAx>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cs-CZ"/>
              <a:t>Ustalování</a:t>
            </a:r>
            <a:r>
              <a:rPr lang="cs-CZ" baseline="0"/>
              <a:t> denní produkce TV</a:t>
            </a:r>
          </a:p>
        </c:rich>
      </c:tx>
      <c:overlay val="0"/>
    </c:title>
    <c:autoTitleDeleted val="0"/>
    <c:plotArea>
      <c:layout/>
      <c:scatterChart>
        <c:scatterStyle val="smoothMarker"/>
        <c:varyColors val="0"/>
        <c:ser>
          <c:idx val="1"/>
          <c:order val="0"/>
          <c:tx>
            <c:strRef>
              <c:f>ZaIteraci!$C$1</c:f>
              <c:strCache>
                <c:ptCount val="1"/>
                <c:pt idx="0">
                  <c:v>Kumulativní průměr za iteraci</c:v>
                </c:pt>
              </c:strCache>
            </c:strRef>
          </c:tx>
          <c:marker>
            <c:symbol val="none"/>
          </c:marker>
          <c:yVal>
            <c:numRef>
              <c:f>ZaIteraci!$C$2:$C$82</c:f>
              <c:numCache>
                <c:formatCode>General</c:formatCode>
                <c:ptCount val="81"/>
                <c:pt idx="0">
                  <c:v>479.94</c:v>
                </c:pt>
                <c:pt idx="1">
                  <c:v>484.11</c:v>
                </c:pt>
                <c:pt idx="2">
                  <c:v>485.03999999999996</c:v>
                </c:pt>
                <c:pt idx="3">
                  <c:v>481.46999999999997</c:v>
                </c:pt>
                <c:pt idx="4">
                  <c:v>484.86399999999992</c:v>
                </c:pt>
                <c:pt idx="5">
                  <c:v>486.96333333333331</c:v>
                </c:pt>
                <c:pt idx="6">
                  <c:v>488.00285714285707</c:v>
                </c:pt>
                <c:pt idx="7">
                  <c:v>488.47249999999997</c:v>
                </c:pt>
                <c:pt idx="8">
                  <c:v>487.64222222222219</c:v>
                </c:pt>
                <c:pt idx="9">
                  <c:v>487.79599999999999</c:v>
                </c:pt>
                <c:pt idx="10">
                  <c:v>488.34181818181821</c:v>
                </c:pt>
                <c:pt idx="11">
                  <c:v>489.34833333333336</c:v>
                </c:pt>
                <c:pt idx="12">
                  <c:v>489.49076923076922</c:v>
                </c:pt>
                <c:pt idx="13">
                  <c:v>489.18</c:v>
                </c:pt>
                <c:pt idx="14">
                  <c:v>490.28266666666673</c:v>
                </c:pt>
                <c:pt idx="15">
                  <c:v>490.76250000000005</c:v>
                </c:pt>
                <c:pt idx="16">
                  <c:v>490.98352941176478</c:v>
                </c:pt>
                <c:pt idx="17">
                  <c:v>491.41777777777781</c:v>
                </c:pt>
                <c:pt idx="18">
                  <c:v>491.8021052631579</c:v>
                </c:pt>
                <c:pt idx="19">
                  <c:v>491.63099999999997</c:v>
                </c:pt>
                <c:pt idx="20">
                  <c:v>491.0542857142857</c:v>
                </c:pt>
                <c:pt idx="21">
                  <c:v>491.28999999999996</c:v>
                </c:pt>
                <c:pt idx="22">
                  <c:v>491.87652173913045</c:v>
                </c:pt>
                <c:pt idx="23">
                  <c:v>491.49333333333334</c:v>
                </c:pt>
                <c:pt idx="24">
                  <c:v>492.04</c:v>
                </c:pt>
                <c:pt idx="25">
                  <c:v>491.83153846153851</c:v>
                </c:pt>
                <c:pt idx="26">
                  <c:v>491.6755555555556</c:v>
                </c:pt>
                <c:pt idx="27">
                  <c:v>491.71142857142866</c:v>
                </c:pt>
                <c:pt idx="28">
                  <c:v>491.34551724137941</c:v>
                </c:pt>
                <c:pt idx="29">
                  <c:v>491.47533333333342</c:v>
                </c:pt>
                <c:pt idx="30">
                  <c:v>492.05354838709684</c:v>
                </c:pt>
                <c:pt idx="31">
                  <c:v>491.72</c:v>
                </c:pt>
                <c:pt idx="32">
                  <c:v>491.61030303030304</c:v>
                </c:pt>
                <c:pt idx="33">
                  <c:v>491.23941176470589</c:v>
                </c:pt>
                <c:pt idx="34">
                  <c:v>491.45314285714289</c:v>
                </c:pt>
                <c:pt idx="35">
                  <c:v>491.25833333333333</c:v>
                </c:pt>
                <c:pt idx="36">
                  <c:v>491.12270270270272</c:v>
                </c:pt>
                <c:pt idx="37">
                  <c:v>491.23105263157902</c:v>
                </c:pt>
                <c:pt idx="38">
                  <c:v>491.19743589743592</c:v>
                </c:pt>
                <c:pt idx="39">
                  <c:v>491.33450000000005</c:v>
                </c:pt>
                <c:pt idx="40">
                  <c:v>491.08829268292692</c:v>
                </c:pt>
                <c:pt idx="41">
                  <c:v>491.12857142857149</c:v>
                </c:pt>
                <c:pt idx="42">
                  <c:v>491.24139534883722</c:v>
                </c:pt>
                <c:pt idx="43">
                  <c:v>491.36727272727273</c:v>
                </c:pt>
                <c:pt idx="44">
                  <c:v>491.24799999999999</c:v>
                </c:pt>
                <c:pt idx="45">
                  <c:v>491.26565217391305</c:v>
                </c:pt>
                <c:pt idx="46">
                  <c:v>491.32382978723405</c:v>
                </c:pt>
                <c:pt idx="47">
                  <c:v>491.41624999999999</c:v>
                </c:pt>
                <c:pt idx="48">
                  <c:v>491.39877551020408</c:v>
                </c:pt>
                <c:pt idx="49">
                  <c:v>491.26520000000005</c:v>
                </c:pt>
              </c:numCache>
            </c:numRef>
          </c:yVal>
          <c:smooth val="1"/>
        </c:ser>
        <c:ser>
          <c:idx val="2"/>
          <c:order val="1"/>
          <c:tx>
            <c:strRef>
              <c:f>ZaIteraci!$G$1</c:f>
              <c:strCache>
                <c:ptCount val="1"/>
                <c:pt idx="0">
                  <c:v>Horní mez spolehlivosti</c:v>
                </c:pt>
              </c:strCache>
            </c:strRef>
          </c:tx>
          <c:marker>
            <c:symbol val="none"/>
          </c:marker>
          <c:yVal>
            <c:numRef>
              <c:f>ZaIteraci!$G$2:$G$82</c:f>
              <c:numCache>
                <c:formatCode>General</c:formatCode>
                <c:ptCount val="81"/>
                <c:pt idx="0">
                  <c:v>495.48556532272789</c:v>
                </c:pt>
                <c:pt idx="1">
                  <c:v>495.10237465707934</c:v>
                </c:pt>
                <c:pt idx="2">
                  <c:v>494.01523632378183</c:v>
                </c:pt>
                <c:pt idx="3">
                  <c:v>489.24278266136389</c:v>
                </c:pt>
                <c:pt idx="4">
                  <c:v>491.81618816205651</c:v>
                </c:pt>
                <c:pt idx="5">
                  <c:v>493.30978380063129</c:v>
                </c:pt>
                <c:pt idx="6">
                  <c:v>493.87852854769244</c:v>
                </c:pt>
                <c:pt idx="7">
                  <c:v>493.96868732853966</c:v>
                </c:pt>
                <c:pt idx="8">
                  <c:v>492.82407732979817</c:v>
                </c:pt>
                <c:pt idx="9">
                  <c:v>492.71193939347506</c:v>
                </c:pt>
                <c:pt idx="10">
                  <c:v>493.02898248449537</c:v>
                </c:pt>
                <c:pt idx="11">
                  <c:v>493.83595149522426</c:v>
                </c:pt>
                <c:pt idx="12">
                  <c:v>493.80233329824387</c:v>
                </c:pt>
                <c:pt idx="13">
                  <c:v>493.33472709438297</c:v>
                </c:pt>
                <c:pt idx="14">
                  <c:v>494.29651437348701</c:v>
                </c:pt>
                <c:pt idx="15">
                  <c:v>494.64889133068203</c:v>
                </c:pt>
                <c:pt idx="16">
                  <c:v>494.75388281385574</c:v>
                </c:pt>
                <c:pt idx="17">
                  <c:v>495.08190266347094</c:v>
                </c:pt>
                <c:pt idx="18">
                  <c:v>495.36850254010426</c:v>
                </c:pt>
                <c:pt idx="19">
                  <c:v>495.10709408102827</c:v>
                </c:pt>
                <c:pt idx="20">
                  <c:v>494.44660618153716</c:v>
                </c:pt>
                <c:pt idx="21">
                  <c:v>494.6043256629585</c:v>
                </c:pt>
                <c:pt idx="22">
                  <c:v>495.11799618358503</c:v>
                </c:pt>
                <c:pt idx="23">
                  <c:v>494.6665585669823</c:v>
                </c:pt>
                <c:pt idx="24">
                  <c:v>495.14911306454559</c:v>
                </c:pt>
                <c:pt idx="25">
                  <c:v>494.88027465117011</c:v>
                </c:pt>
                <c:pt idx="26">
                  <c:v>494.66730099681621</c:v>
                </c:pt>
                <c:pt idx="27">
                  <c:v>494.64926427384631</c:v>
                </c:pt>
                <c:pt idx="28">
                  <c:v>494.23225625113685</c:v>
                </c:pt>
                <c:pt idx="29">
                  <c:v>494.31355226547612</c:v>
                </c:pt>
                <c:pt idx="30">
                  <c:v>494.84561434206233</c:v>
                </c:pt>
                <c:pt idx="31">
                  <c:v>494.46809366426987</c:v>
                </c:pt>
                <c:pt idx="32">
                  <c:v>494.31643860218969</c:v>
                </c:pt>
                <c:pt idx="33">
                  <c:v>493.90545422279416</c:v>
                </c:pt>
                <c:pt idx="34">
                  <c:v>494.08082299207558</c:v>
                </c:pt>
                <c:pt idx="35">
                  <c:v>493.84926088712132</c:v>
                </c:pt>
                <c:pt idx="36">
                  <c:v>493.67837789884845</c:v>
                </c:pt>
                <c:pt idx="37">
                  <c:v>493.75287633051306</c:v>
                </c:pt>
                <c:pt idx="38">
                  <c:v>493.68671857242072</c:v>
                </c:pt>
                <c:pt idx="39">
                  <c:v>493.79246969673756</c:v>
                </c:pt>
                <c:pt idx="40">
                  <c:v>493.51610210006243</c:v>
                </c:pt>
                <c:pt idx="41">
                  <c:v>493.52730423492295</c:v>
                </c:pt>
                <c:pt idx="42">
                  <c:v>493.61207183556536</c:v>
                </c:pt>
                <c:pt idx="43">
                  <c:v>493.71085487861131</c:v>
                </c:pt>
                <c:pt idx="44">
                  <c:v>493.56539605401883</c:v>
                </c:pt>
                <c:pt idx="45">
                  <c:v>493.55772073462981</c:v>
                </c:pt>
                <c:pt idx="46">
                  <c:v>493.59138354086372</c:v>
                </c:pt>
                <c:pt idx="47">
                  <c:v>493.66005908094547</c:v>
                </c:pt>
                <c:pt idx="48">
                  <c:v>493.61957055630808</c:v>
                </c:pt>
                <c:pt idx="49">
                  <c:v>493.46367493141594</c:v>
                </c:pt>
              </c:numCache>
            </c:numRef>
          </c:yVal>
          <c:smooth val="1"/>
        </c:ser>
        <c:ser>
          <c:idx val="3"/>
          <c:order val="2"/>
          <c:tx>
            <c:strRef>
              <c:f>ZaIteraci!$H$1</c:f>
              <c:strCache>
                <c:ptCount val="1"/>
                <c:pt idx="0">
                  <c:v>Dolní mez spolehlivosti</c:v>
                </c:pt>
              </c:strCache>
            </c:strRef>
          </c:tx>
          <c:marker>
            <c:symbol val="none"/>
          </c:marker>
          <c:yVal>
            <c:numRef>
              <c:f>ZaIteraci!$H$2:$H$82</c:f>
              <c:numCache>
                <c:formatCode>General</c:formatCode>
                <c:ptCount val="81"/>
                <c:pt idx="0">
                  <c:v>464.3944346772721</c:v>
                </c:pt>
                <c:pt idx="1">
                  <c:v>473.11762534292069</c:v>
                </c:pt>
                <c:pt idx="2">
                  <c:v>476.06476367621809</c:v>
                </c:pt>
                <c:pt idx="3">
                  <c:v>473.69721733863605</c:v>
                </c:pt>
                <c:pt idx="4">
                  <c:v>477.91181183794333</c:v>
                </c:pt>
                <c:pt idx="5">
                  <c:v>480.61688286603533</c:v>
                </c:pt>
                <c:pt idx="6">
                  <c:v>482.12718573802169</c:v>
                </c:pt>
                <c:pt idx="7">
                  <c:v>482.97631267146028</c:v>
                </c:pt>
                <c:pt idx="8">
                  <c:v>482.4603671146462</c:v>
                </c:pt>
                <c:pt idx="9">
                  <c:v>482.88006060652492</c:v>
                </c:pt>
                <c:pt idx="10">
                  <c:v>483.65465387914105</c:v>
                </c:pt>
                <c:pt idx="11">
                  <c:v>484.86071517144245</c:v>
                </c:pt>
                <c:pt idx="12">
                  <c:v>485.17920516329457</c:v>
                </c:pt>
                <c:pt idx="13">
                  <c:v>485.02527290561704</c:v>
                </c:pt>
                <c:pt idx="14">
                  <c:v>486.26881895984644</c:v>
                </c:pt>
                <c:pt idx="15">
                  <c:v>486.87610866931806</c:v>
                </c:pt>
                <c:pt idx="16">
                  <c:v>487.21317600967382</c:v>
                </c:pt>
                <c:pt idx="17">
                  <c:v>487.75365289208469</c:v>
                </c:pt>
                <c:pt idx="18">
                  <c:v>488.23570798621154</c:v>
                </c:pt>
                <c:pt idx="19">
                  <c:v>488.15490591897168</c:v>
                </c:pt>
                <c:pt idx="20">
                  <c:v>487.66196524703423</c:v>
                </c:pt>
                <c:pt idx="21">
                  <c:v>487.97567433704143</c:v>
                </c:pt>
                <c:pt idx="22">
                  <c:v>488.63504729467587</c:v>
                </c:pt>
                <c:pt idx="23">
                  <c:v>488.32010809968438</c:v>
                </c:pt>
                <c:pt idx="24">
                  <c:v>488.93088693545445</c:v>
                </c:pt>
                <c:pt idx="25">
                  <c:v>488.78280227190692</c:v>
                </c:pt>
                <c:pt idx="26">
                  <c:v>488.683810114295</c:v>
                </c:pt>
                <c:pt idx="27">
                  <c:v>488.773592869011</c:v>
                </c:pt>
                <c:pt idx="28">
                  <c:v>488.45877823162198</c:v>
                </c:pt>
                <c:pt idx="29">
                  <c:v>488.63711440119073</c:v>
                </c:pt>
                <c:pt idx="30">
                  <c:v>489.26148243213134</c:v>
                </c:pt>
                <c:pt idx="31">
                  <c:v>488.97190633573018</c:v>
                </c:pt>
                <c:pt idx="32">
                  <c:v>488.9041674584164</c:v>
                </c:pt>
                <c:pt idx="33">
                  <c:v>488.57336930661762</c:v>
                </c:pt>
                <c:pt idx="34">
                  <c:v>488.8254627222102</c:v>
                </c:pt>
                <c:pt idx="35">
                  <c:v>488.66740577954533</c:v>
                </c:pt>
                <c:pt idx="36">
                  <c:v>488.567027506557</c:v>
                </c:pt>
                <c:pt idx="37">
                  <c:v>488.70922893264498</c:v>
                </c:pt>
                <c:pt idx="38">
                  <c:v>488.70815322245113</c:v>
                </c:pt>
                <c:pt idx="39">
                  <c:v>488.87653030326254</c:v>
                </c:pt>
                <c:pt idx="40">
                  <c:v>488.66048326579141</c:v>
                </c:pt>
                <c:pt idx="41">
                  <c:v>488.72983862222003</c:v>
                </c:pt>
                <c:pt idx="42">
                  <c:v>488.87071886210907</c:v>
                </c:pt>
                <c:pt idx="43">
                  <c:v>489.02369057593415</c:v>
                </c:pt>
                <c:pt idx="44">
                  <c:v>488.93060394598115</c:v>
                </c:pt>
                <c:pt idx="45">
                  <c:v>488.9735836131963</c:v>
                </c:pt>
                <c:pt idx="46">
                  <c:v>489.05627603360438</c:v>
                </c:pt>
                <c:pt idx="47">
                  <c:v>489.17244091905451</c:v>
                </c:pt>
                <c:pt idx="48">
                  <c:v>489.17798046410007</c:v>
                </c:pt>
                <c:pt idx="49">
                  <c:v>489.06672506858416</c:v>
                </c:pt>
              </c:numCache>
            </c:numRef>
          </c:yVal>
          <c:smooth val="1"/>
        </c:ser>
        <c:dLbls>
          <c:showLegendKey val="0"/>
          <c:showVal val="0"/>
          <c:showCatName val="0"/>
          <c:showSerName val="0"/>
          <c:showPercent val="0"/>
          <c:showBubbleSize val="0"/>
        </c:dLbls>
        <c:axId val="103469824"/>
        <c:axId val="103471744"/>
      </c:scatterChart>
      <c:valAx>
        <c:axId val="103469824"/>
        <c:scaling>
          <c:orientation val="minMax"/>
          <c:max val="50"/>
        </c:scaling>
        <c:delete val="0"/>
        <c:axPos val="b"/>
        <c:title>
          <c:tx>
            <c:rich>
              <a:bodyPr/>
              <a:lstStyle/>
              <a:p>
                <a:pPr>
                  <a:defRPr/>
                </a:pPr>
                <a:r>
                  <a:rPr lang="cs-CZ"/>
                  <a:t>Iterace</a:t>
                </a:r>
              </a:p>
            </c:rich>
          </c:tx>
          <c:overlay val="0"/>
        </c:title>
        <c:majorTickMark val="out"/>
        <c:minorTickMark val="none"/>
        <c:tickLblPos val="nextTo"/>
        <c:crossAx val="103471744"/>
        <c:crosses val="autoZero"/>
        <c:crossBetween val="midCat"/>
      </c:valAx>
      <c:valAx>
        <c:axId val="103471744"/>
        <c:scaling>
          <c:orientation val="minMax"/>
        </c:scaling>
        <c:delete val="0"/>
        <c:axPos val="l"/>
        <c:majorGridlines/>
        <c:title>
          <c:tx>
            <c:rich>
              <a:bodyPr rot="-5400000" vert="horz"/>
              <a:lstStyle/>
              <a:p>
                <a:pPr>
                  <a:defRPr/>
                </a:pPr>
                <a:r>
                  <a:rPr lang="cs-CZ"/>
                  <a:t>Počet vyrobených</a:t>
                </a:r>
                <a:r>
                  <a:rPr lang="cs-CZ" baseline="0"/>
                  <a:t> TV denně</a:t>
                </a:r>
                <a:endParaRPr lang="cs-CZ"/>
              </a:p>
            </c:rich>
          </c:tx>
          <c:overlay val="0"/>
        </c:title>
        <c:numFmt formatCode="General" sourceLinked="1"/>
        <c:majorTickMark val="out"/>
        <c:minorTickMark val="none"/>
        <c:tickLblPos val="nextTo"/>
        <c:crossAx val="103469824"/>
        <c:crosses val="autoZero"/>
        <c:crossBetween val="midCat"/>
      </c:valAx>
    </c:plotArea>
    <c:legend>
      <c:legendPos val="b"/>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barChart>
        <c:barDir val="col"/>
        <c:grouping val="clustered"/>
        <c:varyColors val="0"/>
        <c:ser>
          <c:idx val="0"/>
          <c:order val="0"/>
          <c:tx>
            <c:strRef>
              <c:f>ZaIteraci!$Q$9</c:f>
              <c:strCache>
                <c:ptCount val="1"/>
                <c:pt idx="0">
                  <c:v>Vytížení zdrojů</c:v>
                </c:pt>
              </c:strCache>
            </c:strRef>
          </c:tx>
          <c:invertIfNegative val="0"/>
          <c:cat>
            <c:strRef>
              <c:f>ZaIteraci!$P$10:$P$18</c:f>
              <c:strCache>
                <c:ptCount val="9"/>
                <c:pt idx="0">
                  <c:v>MM10</c:v>
                </c:pt>
                <c:pt idx="1">
                  <c:v>MM20</c:v>
                </c:pt>
                <c:pt idx="2">
                  <c:v>MM30</c:v>
                </c:pt>
                <c:pt idx="3">
                  <c:v>MM40</c:v>
                </c:pt>
                <c:pt idx="4">
                  <c:v>TEST</c:v>
                </c:pt>
                <c:pt idx="5">
                  <c:v>MM50</c:v>
                </c:pt>
                <c:pt idx="6">
                  <c:v>MM60</c:v>
                </c:pt>
                <c:pt idx="7">
                  <c:v>Mechanik</c:v>
                </c:pt>
                <c:pt idx="8">
                  <c:v>Paleta</c:v>
                </c:pt>
              </c:strCache>
            </c:strRef>
          </c:cat>
          <c:val>
            <c:numRef>
              <c:f>ZaIteraci!$Q$10:$Q$18</c:f>
              <c:numCache>
                <c:formatCode>General</c:formatCode>
                <c:ptCount val="9"/>
                <c:pt idx="0">
                  <c:v>0.99829999999999997</c:v>
                </c:pt>
                <c:pt idx="1">
                  <c:v>0.99990000000000001</c:v>
                </c:pt>
                <c:pt idx="2">
                  <c:v>0.92030000000000001</c:v>
                </c:pt>
                <c:pt idx="3">
                  <c:v>0.1976</c:v>
                </c:pt>
                <c:pt idx="4">
                  <c:v>0.86309999999999998</c:v>
                </c:pt>
                <c:pt idx="5">
                  <c:v>0.92400000000000004</c:v>
                </c:pt>
                <c:pt idx="6">
                  <c:v>0.6482</c:v>
                </c:pt>
                <c:pt idx="7">
                  <c:v>0.3105</c:v>
                </c:pt>
                <c:pt idx="8">
                  <c:v>0.66459999999999997</c:v>
                </c:pt>
              </c:numCache>
            </c:numRef>
          </c:val>
        </c:ser>
        <c:dLbls>
          <c:showLegendKey val="0"/>
          <c:showVal val="0"/>
          <c:showCatName val="0"/>
          <c:showSerName val="0"/>
          <c:showPercent val="0"/>
          <c:showBubbleSize val="0"/>
        </c:dLbls>
        <c:gapWidth val="150"/>
        <c:axId val="103570432"/>
        <c:axId val="103588608"/>
      </c:barChart>
      <c:catAx>
        <c:axId val="103570432"/>
        <c:scaling>
          <c:orientation val="minMax"/>
        </c:scaling>
        <c:delete val="0"/>
        <c:axPos val="b"/>
        <c:majorTickMark val="out"/>
        <c:minorTickMark val="none"/>
        <c:tickLblPos val="nextTo"/>
        <c:crossAx val="103588608"/>
        <c:crosses val="autoZero"/>
        <c:auto val="1"/>
        <c:lblAlgn val="ctr"/>
        <c:lblOffset val="100"/>
        <c:noMultiLvlLbl val="0"/>
      </c:catAx>
      <c:valAx>
        <c:axId val="103588608"/>
        <c:scaling>
          <c:orientation val="minMax"/>
          <c:max val="1"/>
          <c:min val="0"/>
        </c:scaling>
        <c:delete val="0"/>
        <c:axPos val="l"/>
        <c:majorGridlines/>
        <c:numFmt formatCode="0%" sourceLinked="0"/>
        <c:majorTickMark val="out"/>
        <c:minorTickMark val="none"/>
        <c:tickLblPos val="nextTo"/>
        <c:crossAx val="103570432"/>
        <c:crosses val="autoZero"/>
        <c:crossBetween val="between"/>
        <c:majorUnit val="0.2"/>
      </c:valAx>
    </c:plotArea>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barChart>
        <c:barDir val="col"/>
        <c:grouping val="clustered"/>
        <c:varyColors val="0"/>
        <c:ser>
          <c:idx val="0"/>
          <c:order val="0"/>
          <c:tx>
            <c:strRef>
              <c:f>ZaDen!$Q$3</c:f>
              <c:strCache>
                <c:ptCount val="1"/>
                <c:pt idx="0">
                  <c:v>Denní produkce po 50 iteracích</c:v>
                </c:pt>
              </c:strCache>
            </c:strRef>
          </c:tx>
          <c:invertIfNegative val="0"/>
          <c:cat>
            <c:strRef>
              <c:f>ZaDen!$P$4:$P$8</c:f>
              <c:strCache>
                <c:ptCount val="5"/>
                <c:pt idx="0">
                  <c:v>&lt;400</c:v>
                </c:pt>
                <c:pt idx="1">
                  <c:v>440</c:v>
                </c:pt>
                <c:pt idx="2">
                  <c:v>480</c:v>
                </c:pt>
                <c:pt idx="3">
                  <c:v>520</c:v>
                </c:pt>
                <c:pt idx="4">
                  <c:v>&gt;520</c:v>
                </c:pt>
              </c:strCache>
            </c:strRef>
          </c:cat>
          <c:val>
            <c:numRef>
              <c:f>ZaDen!$Q$4:$Q$8</c:f>
              <c:numCache>
                <c:formatCode>General</c:formatCode>
                <c:ptCount val="5"/>
                <c:pt idx="0">
                  <c:v>132</c:v>
                </c:pt>
                <c:pt idx="1">
                  <c:v>299</c:v>
                </c:pt>
                <c:pt idx="2">
                  <c:v>550</c:v>
                </c:pt>
                <c:pt idx="3">
                  <c:v>720</c:v>
                </c:pt>
                <c:pt idx="4">
                  <c:v>799</c:v>
                </c:pt>
              </c:numCache>
            </c:numRef>
          </c:val>
        </c:ser>
        <c:dLbls>
          <c:showLegendKey val="0"/>
          <c:showVal val="0"/>
          <c:showCatName val="0"/>
          <c:showSerName val="0"/>
          <c:showPercent val="0"/>
          <c:showBubbleSize val="0"/>
        </c:dLbls>
        <c:gapWidth val="150"/>
        <c:axId val="103653760"/>
        <c:axId val="103655680"/>
      </c:barChart>
      <c:catAx>
        <c:axId val="103653760"/>
        <c:scaling>
          <c:orientation val="minMax"/>
        </c:scaling>
        <c:delete val="0"/>
        <c:axPos val="b"/>
        <c:title>
          <c:tx>
            <c:rich>
              <a:bodyPr/>
              <a:lstStyle/>
              <a:p>
                <a:pPr>
                  <a:defRPr/>
                </a:pPr>
                <a:r>
                  <a:rPr lang="cs-CZ"/>
                  <a:t>Počet TV za den</a:t>
                </a:r>
              </a:p>
            </c:rich>
          </c:tx>
          <c:overlay val="0"/>
        </c:title>
        <c:majorTickMark val="out"/>
        <c:minorTickMark val="none"/>
        <c:tickLblPos val="nextTo"/>
        <c:crossAx val="103655680"/>
        <c:crosses val="autoZero"/>
        <c:auto val="1"/>
        <c:lblAlgn val="ctr"/>
        <c:lblOffset val="100"/>
        <c:noMultiLvlLbl val="0"/>
      </c:catAx>
      <c:valAx>
        <c:axId val="103655680"/>
        <c:scaling>
          <c:orientation val="minMax"/>
        </c:scaling>
        <c:delete val="0"/>
        <c:axPos val="l"/>
        <c:majorGridlines/>
        <c:title>
          <c:tx>
            <c:rich>
              <a:bodyPr rot="-5400000" vert="horz"/>
              <a:lstStyle/>
              <a:p>
                <a:pPr>
                  <a:defRPr/>
                </a:pPr>
                <a:r>
                  <a:rPr lang="cs-CZ"/>
                  <a:t>Počet dní</a:t>
                </a:r>
              </a:p>
            </c:rich>
          </c:tx>
          <c:overlay val="0"/>
        </c:title>
        <c:numFmt formatCode="General" sourceLinked="1"/>
        <c:majorTickMark val="out"/>
        <c:minorTickMark val="none"/>
        <c:tickLblPos val="nextTo"/>
        <c:crossAx val="103653760"/>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2012-11-09T00:00:00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786</TotalTime>
  <Pages>9</Pages>
  <Words>540</Words>
  <Characters>3191</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Semestrální práce B</vt:lpstr>
    </vt:vector>
  </TitlesOfParts>
  <Company>Univerzita Pardubice</Company>
  <LinksUpToDate>false</LinksUpToDate>
  <CharactersWithSpaces>3724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Semestrální práce B</dc:title>
  <dc:subject>Pokročilé metody modelování a simulace</dc:subject>
  <dc:creator>Matěj Trakal</dc:creator>
  <cp:lastModifiedBy>Matěj Trakal</cp:lastModifiedBy>
  <cp:revision>83</cp:revision>
  <cp:lastPrinted>2012-11-08T01:59:00Z</cp:lastPrinted>
  <dcterms:created xsi:type="dcterms:W3CDTF">2012-11-07T14:09:00Z</dcterms:created>
  <dcterms:modified xsi:type="dcterms:W3CDTF">2012-11-15T11:40:00Z</dcterms:modified>
</cp:coreProperties>
</file>